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36D9E">
      <w:pPr>
        <w:pStyle w:val="8"/>
        <w:spacing w:before="93"/>
        <w:rPr>
          <w:rFonts w:hint="eastAsia" w:ascii="Times New Roman" w:eastAsia="方正小标宋简体"/>
          <w:kern w:val="2"/>
          <w:sz w:val="72"/>
          <w:szCs w:val="72"/>
        </w:rPr>
      </w:pPr>
      <w:bookmarkStart w:id="0" w:name="_Toc15396597"/>
      <w:bookmarkStart w:id="1" w:name="_Toc15377193"/>
      <w:bookmarkStart w:id="2" w:name="_Toc15396475"/>
      <w:bookmarkStart w:id="3" w:name="_Toc15377425"/>
      <w:bookmarkStart w:id="4" w:name="_Toc15306267"/>
      <w:bookmarkStart w:id="5" w:name="_Toc15378441"/>
    </w:p>
    <w:p w14:paraId="73217A68">
      <w:pPr>
        <w:adjustRightInd w:val="0"/>
        <w:snapToGrid w:val="0"/>
        <w:spacing w:line="400" w:lineRule="exact"/>
        <w:rPr>
          <w:rFonts w:ascii="黑体" w:hAnsi="黑体" w:eastAsia="黑体" w:cs="黑体"/>
          <w:snapToGrid w:val="0"/>
          <w:kern w:val="0"/>
          <w:sz w:val="32"/>
          <w:szCs w:val="32"/>
        </w:rPr>
      </w:pPr>
      <w:r>
        <w:rPr>
          <w:rFonts w:hint="eastAsia" w:ascii="黑体" w:hAnsi="黑体" w:eastAsia="黑体" w:cs="黑体"/>
          <w:snapToGrid w:val="0"/>
          <w:kern w:val="0"/>
          <w:sz w:val="32"/>
          <w:szCs w:val="32"/>
        </w:rPr>
        <w:t>附件2</w:t>
      </w:r>
    </w:p>
    <w:p w14:paraId="799F04DF">
      <w:pPr>
        <w:pStyle w:val="8"/>
        <w:spacing w:before="93"/>
        <w:rPr>
          <w:rFonts w:ascii="Times New Roman" w:eastAsia="方正小标宋简体"/>
          <w:kern w:val="2"/>
          <w:sz w:val="72"/>
          <w:szCs w:val="72"/>
        </w:rPr>
      </w:pPr>
    </w:p>
    <w:p w14:paraId="24C5D8AF">
      <w:pPr>
        <w:pStyle w:val="8"/>
        <w:spacing w:before="93"/>
        <w:rPr>
          <w:rFonts w:hint="eastAsia" w:ascii="Times New Roman" w:eastAsia="方正小标宋简体"/>
          <w:kern w:val="2"/>
          <w:sz w:val="72"/>
          <w:szCs w:val="72"/>
        </w:rPr>
      </w:pPr>
    </w:p>
    <w:p w14:paraId="3C6FDA32">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2025年度市级部门（单位）决算</w:t>
      </w:r>
    </w:p>
    <w:p w14:paraId="28E3A1BE">
      <w:pPr>
        <w:pStyle w:val="8"/>
        <w:spacing w:before="93"/>
        <w:jc w:val="center"/>
        <w:rPr>
          <w:rFonts w:hint="eastAsia" w:ascii="Times New Roman" w:hAnsi="Times New Roman" w:eastAsia="方正小标宋简体"/>
          <w:lang w:val="en-US" w:eastAsia="zh-C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ascii="Times New Roman" w:eastAsia="方正小标宋简体"/>
          <w:kern w:val="2"/>
          <w:sz w:val="44"/>
          <w:szCs w:val="44"/>
        </w:rPr>
        <w:t>公开编制</w:t>
      </w:r>
      <w:r>
        <w:rPr>
          <w:rFonts w:hint="eastAsia" w:ascii="Times New Roman" w:eastAsia="方正小标宋简体"/>
          <w:kern w:val="2"/>
          <w:sz w:val="44"/>
          <w:szCs w:val="44"/>
          <w:lang w:val="en-US" w:eastAsia="zh-CN"/>
        </w:rPr>
        <w:t>说明</w:t>
      </w:r>
    </w:p>
    <w:bookmarkEnd w:id="0"/>
    <w:bookmarkEnd w:id="1"/>
    <w:bookmarkEnd w:id="2"/>
    <w:bookmarkEnd w:id="3"/>
    <w:bookmarkEnd w:id="4"/>
    <w:bookmarkEnd w:id="5"/>
    <w:p w14:paraId="1F338A2A">
      <w:pPr>
        <w:widowControl/>
        <w:jc w:val="both"/>
        <w:rPr>
          <w:rFonts w:hint="eastAsia" w:eastAsia="黑体"/>
          <w:sz w:val="48"/>
          <w:szCs w:val="48"/>
          <w:lang w:val="en-US" w:eastAsia="zh-CN"/>
        </w:rPr>
      </w:pPr>
    </w:p>
    <w:p w14:paraId="543BE4C6">
      <w:pPr>
        <w:widowControl/>
        <w:jc w:val="center"/>
        <w:rPr>
          <w:rFonts w:eastAsia="黑体"/>
          <w:sz w:val="48"/>
          <w:szCs w:val="48"/>
        </w:rPr>
      </w:pPr>
      <w:r>
        <w:rPr>
          <w:rFonts w:hint="eastAsia" w:eastAsia="黑体"/>
          <w:sz w:val="48"/>
          <w:szCs w:val="48"/>
        </w:rPr>
        <w:t>目录</w:t>
      </w:r>
    </w:p>
    <w:p w14:paraId="339D6100">
      <w:pPr>
        <w:widowControl/>
        <w:jc w:val="center"/>
        <w:rPr>
          <w:rFonts w:eastAsia="黑体" w:cstheme="minorBidi"/>
          <w:sz w:val="28"/>
          <w:szCs w:val="28"/>
        </w:rPr>
      </w:pPr>
    </w:p>
    <w:p w14:paraId="656FB45E">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 xml:space="preserve"> 9</w:t>
      </w:r>
      <w:r>
        <w:rPr>
          <w:rFonts w:hint="eastAsia" w:ascii="Times New Roman" w:hAnsi="Times New Roman" w:eastAsia="仿宋_GB2312" w:cs="仿宋_GB2312"/>
          <w:sz w:val="32"/>
          <w:szCs w:val="32"/>
        </w:rPr>
        <w:t xml:space="preserve">月  </w:t>
      </w:r>
      <w:r>
        <w:rPr>
          <w:rFonts w:hint="eastAsia" w:ascii="Times New Roman" w:hAnsi="Times New Roman" w:eastAsia="仿宋_GB2312" w:cs="仿宋_GB2312"/>
          <w:sz w:val="32"/>
          <w:szCs w:val="32"/>
          <w:lang w:val="en-US" w:eastAsia="zh-CN"/>
        </w:rPr>
        <w:t>16</w:t>
      </w:r>
      <w:bookmarkStart w:id="65" w:name="_GoBack"/>
      <w:bookmarkEnd w:id="65"/>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rPr>
        <w:t>日</w:t>
      </w:r>
    </w:p>
    <w:p w14:paraId="0EAD03B9"/>
    <w:p w14:paraId="7C45E4F7">
      <w:pPr>
        <w:pStyle w:val="13"/>
        <w:adjustRightInd w:val="0"/>
        <w:snapToGrid w:val="0"/>
        <w:spacing w:before="0" w:line="560" w:lineRule="exact"/>
        <w:jc w:val="left"/>
        <w:rPr>
          <w:rFonts w:hint="eastAsia" w:ascii="Times New Roman" w:hAnsi="Times New Roman" w:eastAsia="仿宋" w:cs="黑体"/>
          <w:sz w:val="32"/>
          <w:szCs w:val="32"/>
          <w:lang w:val="en-US" w:eastAsia="zh-CN"/>
        </w:rPr>
      </w:pPr>
      <w:r>
        <w:rPr>
          <w:rFonts w:hint="eastAsia" w:ascii="Times New Roman" w:hAnsi="Times New Roman" w:eastAsia="黑体" w:cs="黑体"/>
          <w:sz w:val="32"/>
          <w:szCs w:val="32"/>
        </w:rPr>
        <w:t>第一部分 部门概况</w:t>
      </w:r>
      <w:r>
        <w:rPr>
          <w:rFonts w:cs="Times New Roman"/>
          <w:sz w:val="24"/>
          <w:szCs w:val="24"/>
        </w:rPr>
        <w:tab/>
      </w:r>
      <w:r>
        <w:rPr>
          <w:rFonts w:hint="eastAsia" w:cs="Times New Roman"/>
          <w:sz w:val="24"/>
          <w:szCs w:val="24"/>
          <w:lang w:val="en-US" w:eastAsia="zh-CN"/>
        </w:rPr>
        <w:t>4</w:t>
      </w:r>
    </w:p>
    <w:p w14:paraId="5FBFDD6C">
      <w:pPr>
        <w:pStyle w:val="14"/>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一、部门职责</w:t>
      </w:r>
      <w:r>
        <w:rPr>
          <w:rFonts w:cs="Times New Roman"/>
          <w:sz w:val="24"/>
          <w:szCs w:val="24"/>
        </w:rPr>
        <w:tab/>
      </w:r>
      <w:r>
        <w:rPr>
          <w:rFonts w:hint="eastAsia" w:cs="Times New Roman"/>
          <w:sz w:val="24"/>
          <w:szCs w:val="24"/>
          <w:lang w:val="en-US" w:eastAsia="zh-CN"/>
        </w:rPr>
        <w:t>4</w:t>
      </w:r>
    </w:p>
    <w:p w14:paraId="00982FE7">
      <w:pPr>
        <w:pStyle w:val="14"/>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二、机构设置</w:t>
      </w:r>
      <w:r>
        <w:rPr>
          <w:rFonts w:cs="Times New Roman"/>
          <w:sz w:val="24"/>
          <w:szCs w:val="24"/>
        </w:rPr>
        <w:tab/>
      </w:r>
      <w:r>
        <w:rPr>
          <w:rFonts w:hint="eastAsia" w:cs="Times New Roman"/>
          <w:sz w:val="24"/>
          <w:szCs w:val="24"/>
          <w:lang w:val="en-US" w:eastAsia="zh-CN"/>
        </w:rPr>
        <w:t>4</w:t>
      </w:r>
    </w:p>
    <w:p w14:paraId="1884C9AE">
      <w:pPr>
        <w:pStyle w:val="13"/>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第二部分 2025年度部门决算情况说明</w:t>
      </w:r>
      <w:r>
        <w:rPr>
          <w:rFonts w:cs="Times New Roman"/>
          <w:sz w:val="24"/>
          <w:szCs w:val="24"/>
        </w:rPr>
        <w:tab/>
      </w:r>
      <w:r>
        <w:rPr>
          <w:rFonts w:hint="eastAsia" w:cs="Times New Roman"/>
          <w:sz w:val="24"/>
          <w:szCs w:val="24"/>
          <w:lang w:val="en-US" w:eastAsia="zh-CN"/>
        </w:rPr>
        <w:t>5-12</w:t>
      </w:r>
    </w:p>
    <w:p w14:paraId="4E4DE698">
      <w:pPr>
        <w:pStyle w:val="14"/>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一、收入支出决算总体情况说明</w:t>
      </w:r>
      <w:r>
        <w:rPr>
          <w:rFonts w:cs="Times New Roman"/>
          <w:sz w:val="24"/>
          <w:szCs w:val="24"/>
        </w:rPr>
        <w:tab/>
      </w:r>
      <w:r>
        <w:rPr>
          <w:rFonts w:hint="eastAsia" w:cs="Times New Roman"/>
          <w:sz w:val="24"/>
          <w:szCs w:val="24"/>
          <w:lang w:val="en-US" w:eastAsia="zh-CN"/>
        </w:rPr>
        <w:t>5</w:t>
      </w:r>
    </w:p>
    <w:p w14:paraId="467E306E">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二、收入决算情况说明</w:t>
      </w:r>
      <w:r>
        <w:rPr>
          <w:rFonts w:cs="Times New Roman"/>
          <w:sz w:val="24"/>
          <w:szCs w:val="24"/>
        </w:rPr>
        <w:tab/>
      </w:r>
      <w:r>
        <w:rPr>
          <w:rFonts w:hint="eastAsia" w:cs="Times New Roman"/>
          <w:sz w:val="24"/>
          <w:szCs w:val="24"/>
          <w:lang w:val="en-US" w:eastAsia="zh-CN"/>
        </w:rPr>
        <w:t>5-6</w:t>
      </w:r>
    </w:p>
    <w:p w14:paraId="527F1B8A">
      <w:pPr>
        <w:pStyle w:val="14"/>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三、支出决算情况说明</w:t>
      </w:r>
      <w:r>
        <w:rPr>
          <w:rFonts w:cs="Times New Roman"/>
          <w:sz w:val="24"/>
          <w:szCs w:val="24"/>
        </w:rPr>
        <w:tab/>
      </w:r>
      <w:r>
        <w:rPr>
          <w:rFonts w:hint="eastAsia" w:cs="Times New Roman"/>
          <w:sz w:val="24"/>
          <w:szCs w:val="24"/>
          <w:lang w:val="en-US" w:eastAsia="zh-CN"/>
        </w:rPr>
        <w:t>6</w:t>
      </w:r>
    </w:p>
    <w:p w14:paraId="31F9B7A0">
      <w:pPr>
        <w:pStyle w:val="14"/>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四、财政拨款收入支出决算总体情况说明</w:t>
      </w:r>
      <w:r>
        <w:rPr>
          <w:rFonts w:cs="Times New Roman"/>
          <w:sz w:val="24"/>
          <w:szCs w:val="24"/>
        </w:rPr>
        <w:tab/>
      </w:r>
      <w:r>
        <w:rPr>
          <w:rFonts w:hint="eastAsia" w:cs="Times New Roman"/>
          <w:sz w:val="24"/>
          <w:szCs w:val="24"/>
          <w:lang w:val="en-US" w:eastAsia="zh-CN"/>
        </w:rPr>
        <w:t>7</w:t>
      </w:r>
    </w:p>
    <w:p w14:paraId="64B38F87">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五、一般公共预算财政拨款支出决算情况说明</w:t>
      </w:r>
      <w:r>
        <w:rPr>
          <w:rFonts w:cs="Times New Roman"/>
          <w:sz w:val="24"/>
          <w:szCs w:val="24"/>
        </w:rPr>
        <w:tab/>
      </w:r>
      <w:r>
        <w:rPr>
          <w:rFonts w:hint="eastAsia" w:cs="Times New Roman"/>
          <w:sz w:val="24"/>
          <w:szCs w:val="24"/>
          <w:lang w:val="en-US" w:eastAsia="zh-CN"/>
        </w:rPr>
        <w:t>7-9</w:t>
      </w:r>
    </w:p>
    <w:p w14:paraId="7108D271">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六、一般公共预算财政拨款基本支出决算情况说明</w:t>
      </w:r>
      <w:r>
        <w:rPr>
          <w:rFonts w:cs="Times New Roman"/>
          <w:sz w:val="24"/>
          <w:szCs w:val="24"/>
        </w:rPr>
        <w:tab/>
      </w:r>
      <w:r>
        <w:rPr>
          <w:rFonts w:hint="eastAsia" w:cs="Times New Roman"/>
          <w:sz w:val="24"/>
          <w:szCs w:val="24"/>
          <w:lang w:val="en-US" w:eastAsia="zh-CN"/>
        </w:rPr>
        <w:t>9-10</w:t>
      </w:r>
    </w:p>
    <w:p w14:paraId="7AFAD638">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七、财政拨款“三公”经费支出决算情况说明</w:t>
      </w:r>
      <w:r>
        <w:rPr>
          <w:rFonts w:cs="Times New Roman"/>
          <w:sz w:val="24"/>
          <w:szCs w:val="24"/>
        </w:rPr>
        <w:tab/>
      </w:r>
      <w:r>
        <w:rPr>
          <w:rFonts w:hint="eastAsia" w:cs="Times New Roman"/>
          <w:sz w:val="24"/>
          <w:szCs w:val="24"/>
          <w:lang w:val="en-US" w:eastAsia="zh-CN"/>
        </w:rPr>
        <w:t>10-11</w:t>
      </w:r>
    </w:p>
    <w:p w14:paraId="69487FD3">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八、政府性基金预算支出决算情况说明</w:t>
      </w:r>
      <w:r>
        <w:rPr>
          <w:rFonts w:cs="Times New Roman"/>
          <w:sz w:val="24"/>
          <w:szCs w:val="24"/>
        </w:rPr>
        <w:tab/>
      </w:r>
      <w:r>
        <w:rPr>
          <w:rFonts w:hint="eastAsia" w:cs="Times New Roman"/>
          <w:sz w:val="24"/>
          <w:szCs w:val="24"/>
          <w:lang w:val="en-US" w:eastAsia="zh-CN"/>
        </w:rPr>
        <w:t>11</w:t>
      </w:r>
    </w:p>
    <w:p w14:paraId="10A14953">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九、国有资本经营预算支出决算情况说明</w:t>
      </w:r>
      <w:r>
        <w:rPr>
          <w:rFonts w:cs="Times New Roman"/>
          <w:sz w:val="24"/>
          <w:szCs w:val="24"/>
        </w:rPr>
        <w:tab/>
      </w:r>
      <w:r>
        <w:rPr>
          <w:rFonts w:hint="eastAsia" w:cs="Times New Roman"/>
          <w:sz w:val="24"/>
          <w:szCs w:val="24"/>
          <w:lang w:val="en-US" w:eastAsia="zh-CN"/>
        </w:rPr>
        <w:t>11</w:t>
      </w:r>
    </w:p>
    <w:p w14:paraId="7C8DAE1B">
      <w:pPr>
        <w:pStyle w:val="14"/>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十、其他重要事项的情况说明</w:t>
      </w:r>
      <w:r>
        <w:rPr>
          <w:rFonts w:cs="Times New Roman"/>
          <w:sz w:val="24"/>
          <w:szCs w:val="24"/>
        </w:rPr>
        <w:tab/>
      </w:r>
      <w:r>
        <w:rPr>
          <w:rFonts w:hint="eastAsia" w:cs="Times New Roman"/>
          <w:sz w:val="24"/>
          <w:szCs w:val="24"/>
          <w:lang w:val="en-US" w:eastAsia="zh-CN"/>
        </w:rPr>
        <w:t>11-12</w:t>
      </w:r>
    </w:p>
    <w:p w14:paraId="344829CE">
      <w:pPr>
        <w:pStyle w:val="13"/>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第三部分 名词解释</w:t>
      </w:r>
      <w:r>
        <w:rPr>
          <w:rFonts w:cs="Times New Roman"/>
          <w:sz w:val="24"/>
          <w:szCs w:val="24"/>
        </w:rPr>
        <w:tab/>
      </w:r>
      <w:r>
        <w:rPr>
          <w:rFonts w:hint="eastAsia" w:cs="Times New Roman"/>
          <w:sz w:val="24"/>
          <w:szCs w:val="24"/>
          <w:lang w:val="en-US" w:eastAsia="zh-CN"/>
        </w:rPr>
        <w:t>13-15</w:t>
      </w:r>
    </w:p>
    <w:p w14:paraId="0EB3BEA8">
      <w:pPr>
        <w:pStyle w:val="13"/>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第四部分 附件</w:t>
      </w:r>
      <w:r>
        <w:rPr>
          <w:rFonts w:cs="Times New Roman"/>
          <w:sz w:val="24"/>
          <w:szCs w:val="24"/>
        </w:rPr>
        <w:tab/>
      </w:r>
      <w:r>
        <w:rPr>
          <w:rFonts w:hint="eastAsia" w:cs="Times New Roman"/>
          <w:sz w:val="24"/>
          <w:szCs w:val="24"/>
          <w:lang w:val="en-US" w:eastAsia="zh-CN"/>
        </w:rPr>
        <w:t>16</w:t>
      </w:r>
    </w:p>
    <w:p w14:paraId="623654C8">
      <w:pPr>
        <w:pStyle w:val="13"/>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第五部分 附表</w:t>
      </w:r>
      <w:r>
        <w:rPr>
          <w:rFonts w:cs="Times New Roman"/>
          <w:sz w:val="24"/>
          <w:szCs w:val="24"/>
        </w:rPr>
        <w:tab/>
      </w:r>
      <w:r>
        <w:rPr>
          <w:rFonts w:hint="eastAsia" w:cs="Times New Roman"/>
          <w:sz w:val="24"/>
          <w:szCs w:val="24"/>
          <w:lang w:val="en-US" w:eastAsia="zh-CN"/>
        </w:rPr>
        <w:t>16</w:t>
      </w:r>
    </w:p>
    <w:p w14:paraId="0F52ECD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2D8AD88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06CEBAD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32E8CAF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753F2FD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4B659BB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025874A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43EE8DE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46D7ED5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5D3F440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067D029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1EE2B01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24DBC4F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674925B7">
      <w:pPr>
        <w:widowControl/>
        <w:spacing w:line="560" w:lineRule="exact"/>
        <w:jc w:val="left"/>
        <w:rPr>
          <w:rFonts w:eastAsia="仿宋_GB2312" w:cs="仿宋_GB2312"/>
          <w:bCs/>
          <w:kern w:val="44"/>
          <w:sz w:val="32"/>
          <w:szCs w:val="32"/>
        </w:rPr>
      </w:pPr>
      <w:bookmarkStart w:id="6" w:name="_Toc15396599"/>
      <w:bookmarkStart w:id="7" w:name="_Toc15377196"/>
      <w:r>
        <w:rPr>
          <w:rFonts w:hint="eastAsia" w:eastAsia="仿宋_GB2312" w:cs="仿宋_GB2312"/>
          <w:b/>
          <w:sz w:val="32"/>
          <w:szCs w:val="32"/>
        </w:rPr>
        <w:br w:type="page"/>
      </w:r>
    </w:p>
    <w:p w14:paraId="515C1ACF">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6"/>
      <w:bookmarkEnd w:id="7"/>
    </w:p>
    <w:p w14:paraId="25977CD7">
      <w:pPr>
        <w:widowControl/>
        <w:jc w:val="left"/>
        <w:rPr>
          <w:rFonts w:eastAsia="黑体"/>
          <w:sz w:val="32"/>
          <w:szCs w:val="32"/>
        </w:rPr>
      </w:pPr>
    </w:p>
    <w:p w14:paraId="6A113153">
      <w:pPr>
        <w:pStyle w:val="6"/>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2D1C3CB0">
      <w:pPr>
        <w:numPr>
          <w:ilvl w:val="0"/>
          <w:numId w:val="0"/>
        </w:numPr>
        <w:rPr>
          <w:rFonts w:hint="default" w:ascii="仿宋_GB2312" w:hAnsi="仿宋_GB2312" w:eastAsia="仿宋_GB2312" w:cs="仿宋_GB2312"/>
          <w:color w:val="auto"/>
          <w:sz w:val="32"/>
          <w:szCs w:val="32"/>
          <w:highlight w:val="none"/>
          <w:lang w:val="en-US" w:eastAsia="zh-CN"/>
        </w:rPr>
      </w:pPr>
      <w:r>
        <w:rPr>
          <w:rFonts w:hint="eastAsia"/>
          <w:lang w:val="en-US" w:eastAsia="zh-CN"/>
        </w:rPr>
        <w:t xml:space="preserve">    </w:t>
      </w:r>
      <w:r>
        <w:rPr>
          <w:rFonts w:hint="eastAsia" w:ascii="仿宋_GB2312" w:hAnsi="仿宋_GB2312" w:eastAsia="仿宋_GB2312" w:cs="仿宋_GB2312"/>
          <w:color w:val="auto"/>
          <w:sz w:val="32"/>
          <w:szCs w:val="32"/>
          <w:highlight w:val="none"/>
          <w:lang w:val="en-US" w:eastAsia="zh-CN"/>
        </w:rPr>
        <w:t>我院是精神病专科医院，开展的主要医疗工作为精神科、心理治疗、老年痴呆、失眠、神经衰弱、焦虑症、儿童青少年门诊、父母效能训练、记忆门诊、特需门诊等精神疾病的门诊检查和住院治疗。编制人数266人，实际在编人数209人。</w:t>
      </w:r>
    </w:p>
    <w:p w14:paraId="049279F3">
      <w:pPr>
        <w:numPr>
          <w:ilvl w:val="0"/>
          <w:numId w:val="0"/>
        </w:numPr>
      </w:pPr>
    </w:p>
    <w:p w14:paraId="78062AF9">
      <w:pPr>
        <w:pStyle w:val="6"/>
        <w:rPr>
          <w:rStyle w:val="29"/>
          <w:rFonts w:ascii="Times New Roman" w:hAnsi="Times New Roman"/>
          <w:b w:val="0"/>
          <w:bCs w:val="0"/>
        </w:rPr>
      </w:pPr>
      <w:bookmarkStart w:id="8" w:name="_Toc15377200"/>
      <w:bookmarkStart w:id="9"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8"/>
      <w:bookmarkEnd w:id="9"/>
    </w:p>
    <w:p w14:paraId="04A567EB">
      <w:pPr>
        <w:ind w:firstLine="800" w:firstLineChars="250"/>
        <w:rPr>
          <w:rFonts w:eastAsia="仿宋_GB2312" w:cs="仿宋_GB2312"/>
          <w:sz w:val="32"/>
          <w:szCs w:val="32"/>
        </w:rPr>
      </w:pPr>
      <w:r>
        <w:rPr>
          <w:rFonts w:hint="eastAsia" w:eastAsia="仿宋_GB2312" w:cs="仿宋_GB2312"/>
          <w:sz w:val="32"/>
          <w:szCs w:val="32"/>
          <w:lang w:val="en-US" w:eastAsia="zh-CN"/>
        </w:rPr>
        <w:t>攀枝花市第三人民医院</w:t>
      </w:r>
      <w:r>
        <w:rPr>
          <w:rFonts w:hint="eastAsia" w:eastAsia="仿宋_GB2312" w:cs="仿宋_GB2312"/>
          <w:sz w:val="32"/>
          <w:szCs w:val="32"/>
        </w:rPr>
        <w:t>下属二级预算单位</w:t>
      </w:r>
      <w:r>
        <w:rPr>
          <w:rFonts w:hint="eastAsia" w:eastAsia="仿宋_GB2312" w:cs="仿宋_GB2312"/>
          <w:sz w:val="32"/>
          <w:szCs w:val="32"/>
          <w:lang w:val="en-US" w:eastAsia="zh-CN"/>
        </w:rPr>
        <w:t>1</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14:paraId="7103FE60">
      <w:pPr>
        <w:pStyle w:val="8"/>
        <w:adjustRightInd w:val="0"/>
        <w:snapToGrid w:val="0"/>
        <w:spacing w:before="93" w:line="600" w:lineRule="exact"/>
        <w:ind w:firstLine="672" w:firstLineChars="210"/>
        <w:rPr>
          <w:rFonts w:ascii="Times New Roman" w:cs="仿宋_GB2312"/>
          <w:sz w:val="32"/>
          <w:szCs w:val="32"/>
        </w:rPr>
      </w:pPr>
      <w:r>
        <w:rPr>
          <w:rFonts w:hint="eastAsia" w:ascii="Times New Roman" w:cs="仿宋_GB2312"/>
          <w:sz w:val="32"/>
          <w:szCs w:val="32"/>
        </w:rPr>
        <w:t>纳入</w:t>
      </w:r>
      <w:r>
        <w:rPr>
          <w:rFonts w:hint="eastAsia" w:ascii="Times New Roman" w:cs="仿宋_GB2312"/>
          <w:sz w:val="32"/>
          <w:szCs w:val="32"/>
          <w:lang w:val="en-US" w:eastAsia="zh-CN"/>
        </w:rPr>
        <w:t>攀枝花市第三人民医院</w:t>
      </w:r>
      <w:r>
        <w:rPr>
          <w:rFonts w:hint="eastAsia" w:ascii="Times New Roman" w:cs="仿宋_GB2312"/>
          <w:sz w:val="32"/>
          <w:szCs w:val="32"/>
        </w:rPr>
        <w:t>2025年度部门决算编制范围的二级预算单位包括：</w:t>
      </w:r>
    </w:p>
    <w:p w14:paraId="2AF5A65F">
      <w:pPr>
        <w:pStyle w:val="8"/>
        <w:numPr>
          <w:ilvl w:val="0"/>
          <w:numId w:val="2"/>
        </w:numPr>
        <w:adjustRightInd w:val="0"/>
        <w:snapToGrid w:val="0"/>
        <w:spacing w:before="93" w:line="600" w:lineRule="exact"/>
        <w:outlineLvl w:val="2"/>
        <w:rPr>
          <w:rFonts w:ascii="Times New Roman" w:cs="仿宋_GB2312"/>
          <w:sz w:val="32"/>
          <w:szCs w:val="32"/>
        </w:rPr>
      </w:pPr>
      <w:bookmarkStart w:id="10" w:name="_Toc15377202"/>
      <w:bookmarkStart w:id="11" w:name="_Toc15306276"/>
      <w:bookmarkStart w:id="12" w:name="_Toc15378449"/>
      <w:bookmarkStart w:id="13" w:name="_Toc15377433"/>
      <w:r>
        <w:rPr>
          <w:rFonts w:hint="eastAsia" w:ascii="Times New Roman" w:cs="仿宋_GB2312"/>
          <w:sz w:val="32"/>
          <w:szCs w:val="32"/>
          <w:lang w:val="en-US" w:eastAsia="zh-CN"/>
        </w:rPr>
        <w:t>攀枝花市第三人民医院</w:t>
      </w:r>
      <w:bookmarkEnd w:id="10"/>
      <w:bookmarkEnd w:id="11"/>
      <w:bookmarkEnd w:id="12"/>
      <w:bookmarkEnd w:id="13"/>
    </w:p>
    <w:p w14:paraId="6946A3CD">
      <w:pPr>
        <w:widowControl/>
        <w:jc w:val="left"/>
        <w:rPr>
          <w:rFonts w:eastAsia="仿宋"/>
          <w:kern w:val="0"/>
          <w:sz w:val="32"/>
          <w:szCs w:val="32"/>
        </w:rPr>
      </w:pPr>
      <w:r>
        <w:rPr>
          <w:rFonts w:eastAsia="仿宋"/>
          <w:sz w:val="32"/>
          <w:szCs w:val="32"/>
        </w:rPr>
        <w:br w:type="page"/>
      </w:r>
    </w:p>
    <w:p w14:paraId="7E005644">
      <w:pPr>
        <w:pStyle w:val="5"/>
        <w:jc w:val="center"/>
        <w:rPr>
          <w:rFonts w:eastAsia="方正小标宋简体" w:cs="方正小标宋简体"/>
          <w:b w:val="0"/>
        </w:rPr>
      </w:pPr>
      <w:bookmarkStart w:id="14" w:name="_Toc15396602"/>
      <w:bookmarkStart w:id="15" w:name="_Toc15377204"/>
      <w:r>
        <w:rPr>
          <w:rFonts w:hint="eastAsia" w:eastAsia="方正小标宋简体" w:cs="方正小标宋简体"/>
          <w:b w:val="0"/>
        </w:rPr>
        <w:t>第二部分  2025年度部门决算情况说明</w:t>
      </w:r>
      <w:bookmarkEnd w:id="14"/>
      <w:bookmarkEnd w:id="15"/>
    </w:p>
    <w:p w14:paraId="3D6D473F"/>
    <w:p w14:paraId="7E8B8EA4">
      <w:pPr>
        <w:pStyle w:val="27"/>
        <w:spacing w:line="600" w:lineRule="exact"/>
        <w:ind w:firstLine="640"/>
        <w:outlineLvl w:val="1"/>
        <w:rPr>
          <w:rStyle w:val="29"/>
          <w:rFonts w:ascii="Times New Roman" w:hAnsi="Times New Roman" w:eastAsia="黑体"/>
          <w:b w:val="0"/>
        </w:rPr>
      </w:pPr>
      <w:bookmarkStart w:id="16" w:name="_Toc15396603"/>
      <w:bookmarkStart w:id="17" w:name="_Toc15377205"/>
      <w:r>
        <w:rPr>
          <w:rFonts w:hint="eastAsia" w:eastAsia="黑体"/>
          <w:sz w:val="32"/>
          <w:szCs w:val="32"/>
        </w:rPr>
        <w:t>一、收</w:t>
      </w:r>
      <w:r>
        <w:rPr>
          <w:rStyle w:val="29"/>
          <w:rFonts w:hint="eastAsia" w:ascii="Times New Roman" w:hAnsi="Times New Roman" w:eastAsia="黑体"/>
          <w:b w:val="0"/>
        </w:rPr>
        <w:t>入支出决算总体情况说明</w:t>
      </w:r>
      <w:bookmarkEnd w:id="16"/>
      <w:bookmarkEnd w:id="17"/>
    </w:p>
    <w:p w14:paraId="3ED6778F">
      <w:pPr>
        <w:pStyle w:val="27"/>
        <w:spacing w:line="600" w:lineRule="exact"/>
        <w:ind w:firstLine="640"/>
        <w:outlineLvl w:val="1"/>
        <w:rPr>
          <w:rFonts w:hint="default" w:eastAsia="仿宋_GB2312" w:cs="仿宋_GB2312"/>
          <w:sz w:val="32"/>
          <w:szCs w:val="32"/>
          <w:lang w:val="en-US" w:eastAsia="zh-CN"/>
        </w:rPr>
      </w:pPr>
      <w:r>
        <w:rPr>
          <w:rFonts w:hint="eastAsia" w:eastAsia="仿宋_GB2312" w:cs="仿宋_GB2312"/>
          <w:sz w:val="32"/>
          <w:szCs w:val="32"/>
        </w:rPr>
        <w:t>2025年度收入、支出总计均为</w:t>
      </w:r>
      <w:r>
        <w:rPr>
          <w:rFonts w:hint="eastAsia" w:eastAsia="仿宋_GB2312" w:cs="仿宋_GB2312"/>
          <w:sz w:val="32"/>
          <w:szCs w:val="32"/>
          <w:lang w:val="en-US" w:eastAsia="zh-CN"/>
        </w:rPr>
        <w:t>22404.42</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2993.21</w:t>
      </w:r>
      <w:r>
        <w:rPr>
          <w:rFonts w:hint="eastAsia" w:eastAsia="仿宋_GB2312" w:cs="仿宋_GB2312"/>
          <w:sz w:val="32"/>
          <w:szCs w:val="32"/>
        </w:rPr>
        <w:t>万元，增长</w:t>
      </w:r>
      <w:r>
        <w:rPr>
          <w:rFonts w:hint="eastAsia" w:eastAsia="仿宋_GB2312" w:cs="仿宋_GB2312"/>
          <w:sz w:val="32"/>
          <w:szCs w:val="32"/>
          <w:lang w:val="en-US" w:eastAsia="zh-CN"/>
        </w:rPr>
        <w:t>15.42</w:t>
      </w:r>
      <w:r>
        <w:rPr>
          <w:rFonts w:hint="eastAsia" w:eastAsia="仿宋_GB2312" w:cs="仿宋_GB2312"/>
          <w:sz w:val="32"/>
          <w:szCs w:val="32"/>
        </w:rPr>
        <w:t>%。主要变动原因是</w:t>
      </w:r>
      <w:r>
        <w:rPr>
          <w:rFonts w:hint="eastAsia" w:eastAsia="仿宋_GB2312" w:cs="仿宋_GB2312"/>
          <w:sz w:val="32"/>
          <w:szCs w:val="32"/>
          <w:lang w:val="en-US" w:eastAsia="zh-CN"/>
        </w:rPr>
        <w:t>2025年度收到政府专项债2000万元，财政拨款收入增加了2076.33万元，其他收入增加了815.78万元。</w:t>
      </w:r>
    </w:p>
    <w:p w14:paraId="111DCD64">
      <w:pPr>
        <w:pStyle w:val="27"/>
        <w:spacing w:line="600" w:lineRule="exact"/>
        <w:ind w:firstLine="640"/>
        <w:outlineLvl w:val="1"/>
        <w:rPr>
          <w:rFonts w:eastAsia="黑体"/>
          <w:sz w:val="32"/>
          <w:szCs w:val="32"/>
        </w:rPr>
      </w:pPr>
      <w:r>
        <w:rPr>
          <w:rFonts w:hint="eastAsia" w:eastAsia="仿宋_GB2312" w:cs="仿宋_GB2312"/>
          <w:sz w:val="32"/>
          <w:szCs w:val="32"/>
          <w:lang w:eastAsia="zh-CN"/>
        </w:rPr>
        <w:drawing>
          <wp:anchor distT="0" distB="0" distL="114300" distR="114300" simplePos="0" relativeHeight="251659264" behindDoc="0" locked="0" layoutInCell="1" allowOverlap="1">
            <wp:simplePos x="0" y="0"/>
            <wp:positionH relativeFrom="column">
              <wp:posOffset>87630</wp:posOffset>
            </wp:positionH>
            <wp:positionV relativeFrom="paragraph">
              <wp:posOffset>207645</wp:posOffset>
            </wp:positionV>
            <wp:extent cx="5256530" cy="2042795"/>
            <wp:effectExtent l="4445" t="4445" r="15875" b="1016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Start w:id="18" w:name="_Toc15377206"/>
      <w:bookmarkStart w:id="19" w:name="_Toc15396604"/>
      <w:r>
        <w:rPr>
          <w:rFonts w:hint="eastAsia" w:eastAsia="黑体"/>
          <w:sz w:val="32"/>
          <w:szCs w:val="32"/>
        </w:rPr>
        <w:t>二、收入决算情况说明</w:t>
      </w:r>
      <w:bookmarkEnd w:id="18"/>
      <w:bookmarkEnd w:id="19"/>
    </w:p>
    <w:p w14:paraId="4A9C1890">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w:t>
      </w:r>
      <w:r>
        <w:rPr>
          <w:rFonts w:hint="eastAsia" w:eastAsia="仿宋_GB2312" w:cs="仿宋_GB2312"/>
          <w:sz w:val="32"/>
          <w:szCs w:val="32"/>
          <w:lang w:val="en-US" w:eastAsia="zh-CN"/>
        </w:rPr>
        <w:t>22404.42</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2638.28</w:t>
      </w:r>
      <w:r>
        <w:rPr>
          <w:rFonts w:hint="eastAsia" w:eastAsia="仿宋_GB2312" w:cs="仿宋_GB2312"/>
          <w:sz w:val="32"/>
          <w:szCs w:val="32"/>
        </w:rPr>
        <w:t>万元，占</w:t>
      </w:r>
      <w:r>
        <w:rPr>
          <w:rFonts w:hint="eastAsia" w:eastAsia="仿宋_GB2312" w:cs="仿宋_GB2312"/>
          <w:sz w:val="32"/>
          <w:szCs w:val="32"/>
          <w:lang w:val="en-US" w:eastAsia="zh-CN"/>
        </w:rPr>
        <w:t>11.78</w:t>
      </w:r>
      <w:r>
        <w:rPr>
          <w:rFonts w:hint="eastAsia" w:eastAsia="仿宋_GB2312" w:cs="仿宋_GB2312"/>
          <w:sz w:val="32"/>
          <w:szCs w:val="32"/>
        </w:rPr>
        <w:t>%；政府性基金预算财政拨款收入</w:t>
      </w:r>
      <w:r>
        <w:rPr>
          <w:rFonts w:hint="eastAsia" w:eastAsia="仿宋_GB2312" w:cs="仿宋_GB2312"/>
          <w:sz w:val="32"/>
          <w:szCs w:val="32"/>
          <w:lang w:val="en-US" w:eastAsia="zh-CN"/>
        </w:rPr>
        <w:t>25</w:t>
      </w:r>
      <w:r>
        <w:rPr>
          <w:rFonts w:hint="eastAsia" w:eastAsia="仿宋_GB2312" w:cs="仿宋_GB2312"/>
          <w:sz w:val="32"/>
          <w:szCs w:val="32"/>
        </w:rPr>
        <w:t>万元，占</w:t>
      </w:r>
      <w:r>
        <w:rPr>
          <w:rFonts w:hint="eastAsia" w:eastAsia="仿宋_GB2312" w:cs="仿宋_GB2312"/>
          <w:sz w:val="32"/>
          <w:szCs w:val="32"/>
          <w:lang w:val="en-US" w:eastAsia="zh-CN"/>
        </w:rPr>
        <w:t>0.11</w:t>
      </w:r>
      <w:r>
        <w:rPr>
          <w:rFonts w:hint="eastAsia" w:eastAsia="仿宋_GB2312" w:cs="仿宋_GB2312"/>
          <w:sz w:val="32"/>
          <w:szCs w:val="32"/>
        </w:rPr>
        <w:t>%；国有资本经营预算财政拨款收入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%；上级补助收入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%；事业收入</w:t>
      </w:r>
      <w:r>
        <w:rPr>
          <w:rFonts w:hint="eastAsia" w:eastAsia="仿宋_GB2312" w:cs="仿宋_GB2312"/>
          <w:sz w:val="32"/>
          <w:szCs w:val="32"/>
          <w:lang w:val="en-US" w:eastAsia="zh-CN"/>
        </w:rPr>
        <w:t>18843.09</w:t>
      </w:r>
      <w:r>
        <w:rPr>
          <w:rFonts w:hint="eastAsia" w:eastAsia="仿宋_GB2312" w:cs="仿宋_GB2312"/>
          <w:sz w:val="32"/>
          <w:szCs w:val="32"/>
        </w:rPr>
        <w:t>万元，占</w:t>
      </w:r>
      <w:r>
        <w:rPr>
          <w:rFonts w:hint="eastAsia" w:eastAsia="仿宋_GB2312" w:cs="仿宋_GB2312"/>
          <w:sz w:val="32"/>
          <w:szCs w:val="32"/>
          <w:lang w:val="en-US" w:eastAsia="zh-CN"/>
        </w:rPr>
        <w:t>84.1</w:t>
      </w:r>
      <w:r>
        <w:rPr>
          <w:rFonts w:hint="eastAsia" w:eastAsia="仿宋_GB2312" w:cs="仿宋_GB2312"/>
          <w:sz w:val="32"/>
          <w:szCs w:val="32"/>
        </w:rPr>
        <w:t>%；经营收入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%；附属单位上缴收入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%；其他收入</w:t>
      </w:r>
      <w:r>
        <w:rPr>
          <w:rFonts w:hint="eastAsia" w:eastAsia="仿宋_GB2312" w:cs="仿宋_GB2312"/>
          <w:sz w:val="32"/>
          <w:szCs w:val="32"/>
          <w:lang w:val="en-US" w:eastAsia="zh-CN"/>
        </w:rPr>
        <w:t>898.05</w:t>
      </w:r>
      <w:r>
        <w:rPr>
          <w:rFonts w:hint="eastAsia" w:eastAsia="仿宋_GB2312" w:cs="仿宋_GB2312"/>
          <w:sz w:val="32"/>
          <w:szCs w:val="32"/>
        </w:rPr>
        <w:t>万元，占</w:t>
      </w:r>
      <w:r>
        <w:rPr>
          <w:rFonts w:hint="eastAsia" w:eastAsia="仿宋_GB2312" w:cs="仿宋_GB2312"/>
          <w:sz w:val="32"/>
          <w:szCs w:val="32"/>
          <w:lang w:val="en-US" w:eastAsia="zh-CN"/>
        </w:rPr>
        <w:t>4.01</w:t>
      </w:r>
      <w:r>
        <w:rPr>
          <w:rFonts w:hint="eastAsia" w:eastAsia="仿宋_GB2312" w:cs="仿宋_GB2312"/>
          <w:sz w:val="32"/>
          <w:szCs w:val="32"/>
        </w:rPr>
        <w:t>%。</w:t>
      </w:r>
    </w:p>
    <w:p w14:paraId="4990EFF9">
      <w:pPr>
        <w:pStyle w:val="27"/>
        <w:spacing w:line="600" w:lineRule="exact"/>
        <w:ind w:firstLine="640"/>
        <w:outlineLvl w:val="1"/>
        <w:rPr>
          <w:rStyle w:val="29"/>
          <w:rFonts w:ascii="Times New Roman" w:hAnsi="Times New Roman" w:eastAsia="黑体"/>
          <w:b w:val="0"/>
        </w:rPr>
      </w:pPr>
      <w:bookmarkStart w:id="20" w:name="_Toc15377207"/>
      <w:bookmarkStart w:id="21" w:name="_Toc15396605"/>
      <w:r>
        <w:rPr>
          <w:rFonts w:hint="eastAsia" w:eastAsia="仿宋_GB2312" w:cs="仿宋_GB2312"/>
          <w:sz w:val="32"/>
          <w:szCs w:val="32"/>
          <w:lang w:eastAsia="zh-CN"/>
        </w:rPr>
        <w:drawing>
          <wp:anchor distT="0" distB="0" distL="114300" distR="114300" simplePos="0" relativeHeight="251660288" behindDoc="0" locked="0" layoutInCell="1" allowOverlap="1">
            <wp:simplePos x="0" y="0"/>
            <wp:positionH relativeFrom="column">
              <wp:posOffset>74930</wp:posOffset>
            </wp:positionH>
            <wp:positionV relativeFrom="paragraph">
              <wp:posOffset>258445</wp:posOffset>
            </wp:positionV>
            <wp:extent cx="5256530" cy="3134360"/>
            <wp:effectExtent l="4445" t="4445" r="15875" b="23495"/>
            <wp:wrapTopAndBottom/>
            <wp:docPr id="5" name="图表 5"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黑体"/>
          <w:sz w:val="32"/>
          <w:szCs w:val="32"/>
        </w:rPr>
        <w:t>三、支</w:t>
      </w:r>
      <w:r>
        <w:rPr>
          <w:rStyle w:val="29"/>
          <w:rFonts w:hint="eastAsia" w:ascii="Times New Roman" w:hAnsi="Times New Roman" w:eastAsia="黑体"/>
          <w:b w:val="0"/>
        </w:rPr>
        <w:t>出决算情况说明</w:t>
      </w:r>
      <w:bookmarkEnd w:id="20"/>
      <w:bookmarkEnd w:id="21"/>
    </w:p>
    <w:p w14:paraId="6D2E22BD">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lang w:eastAsia="zh-CN"/>
        </w:rPr>
        <w:drawing>
          <wp:anchor distT="0" distB="0" distL="114300" distR="114300" simplePos="0" relativeHeight="251661312" behindDoc="0" locked="0" layoutInCell="1" allowOverlap="1">
            <wp:simplePos x="0" y="0"/>
            <wp:positionH relativeFrom="column">
              <wp:posOffset>30480</wp:posOffset>
            </wp:positionH>
            <wp:positionV relativeFrom="paragraph">
              <wp:posOffset>1711960</wp:posOffset>
            </wp:positionV>
            <wp:extent cx="5256530" cy="2988310"/>
            <wp:effectExtent l="5080" t="4445" r="15240" b="17145"/>
            <wp:wrapTopAndBottom/>
            <wp:docPr id="7" name="图表 7"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sz w:val="32"/>
          <w:szCs w:val="32"/>
        </w:rPr>
        <w:t>2025年度本年支出合计</w:t>
      </w:r>
      <w:r>
        <w:rPr>
          <w:rFonts w:hint="eastAsia" w:eastAsia="仿宋_GB2312" w:cs="仿宋_GB2312"/>
          <w:sz w:val="32"/>
          <w:szCs w:val="32"/>
          <w:lang w:val="en-US" w:eastAsia="zh-CN"/>
        </w:rPr>
        <w:t>20260.55</w:t>
      </w:r>
      <w:r>
        <w:rPr>
          <w:rFonts w:hint="eastAsia" w:eastAsia="仿宋_GB2312" w:cs="仿宋_GB2312"/>
          <w:sz w:val="32"/>
          <w:szCs w:val="32"/>
        </w:rPr>
        <w:t>万元，其中：基本支出</w:t>
      </w:r>
      <w:r>
        <w:rPr>
          <w:rFonts w:hint="eastAsia" w:eastAsia="仿宋_GB2312" w:cs="仿宋_GB2312"/>
          <w:sz w:val="32"/>
          <w:szCs w:val="32"/>
          <w:lang w:val="en-US" w:eastAsia="zh-CN"/>
        </w:rPr>
        <w:t>17896.98</w:t>
      </w:r>
      <w:r>
        <w:rPr>
          <w:rFonts w:hint="eastAsia" w:eastAsia="仿宋_GB2312" w:cs="仿宋_GB2312"/>
          <w:sz w:val="32"/>
          <w:szCs w:val="32"/>
        </w:rPr>
        <w:t>万元，占</w:t>
      </w:r>
      <w:r>
        <w:rPr>
          <w:rFonts w:hint="eastAsia" w:eastAsia="仿宋_GB2312" w:cs="仿宋_GB2312"/>
          <w:sz w:val="32"/>
          <w:szCs w:val="32"/>
          <w:lang w:val="en-US" w:eastAsia="zh-CN"/>
        </w:rPr>
        <w:t>88.33</w:t>
      </w:r>
      <w:r>
        <w:rPr>
          <w:rFonts w:hint="eastAsia" w:eastAsia="仿宋_GB2312" w:cs="仿宋_GB2312"/>
          <w:sz w:val="32"/>
          <w:szCs w:val="32"/>
        </w:rPr>
        <w:t>%；项目支出</w:t>
      </w:r>
      <w:r>
        <w:rPr>
          <w:rFonts w:hint="eastAsia" w:eastAsia="仿宋_GB2312" w:cs="仿宋_GB2312"/>
          <w:sz w:val="32"/>
          <w:szCs w:val="32"/>
          <w:lang w:val="en-US" w:eastAsia="zh-CN"/>
        </w:rPr>
        <w:t>2363.57</w:t>
      </w:r>
      <w:r>
        <w:rPr>
          <w:rFonts w:hint="eastAsia" w:eastAsia="仿宋_GB2312" w:cs="仿宋_GB2312"/>
          <w:sz w:val="32"/>
          <w:szCs w:val="32"/>
        </w:rPr>
        <w:t>万元，占</w:t>
      </w:r>
      <w:r>
        <w:rPr>
          <w:rFonts w:hint="eastAsia" w:eastAsia="仿宋_GB2312" w:cs="仿宋_GB2312"/>
          <w:sz w:val="32"/>
          <w:szCs w:val="32"/>
          <w:lang w:val="en-US" w:eastAsia="zh-CN"/>
        </w:rPr>
        <w:t>11.67</w:t>
      </w:r>
      <w:r>
        <w:rPr>
          <w:rFonts w:hint="eastAsia" w:eastAsia="仿宋_GB2312" w:cs="仿宋_GB2312"/>
          <w:sz w:val="32"/>
          <w:szCs w:val="32"/>
        </w:rPr>
        <w:t>%；上缴上级支出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%；对附属单位补助支出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14:paraId="0767A426">
      <w:pPr>
        <w:rPr>
          <w:rFonts w:eastAsia="仿宋_GB2312" w:cs="仿宋_GB2312"/>
          <w:sz w:val="32"/>
          <w:szCs w:val="32"/>
        </w:rPr>
      </w:pPr>
    </w:p>
    <w:p w14:paraId="3DDDACA3">
      <w:pPr>
        <w:spacing w:line="600" w:lineRule="exact"/>
        <w:ind w:firstLine="640" w:firstLineChars="200"/>
        <w:outlineLvl w:val="1"/>
        <w:rPr>
          <w:rStyle w:val="29"/>
          <w:rFonts w:ascii="Times New Roman" w:hAnsi="Times New Roman" w:eastAsia="黑体"/>
          <w:b w:val="0"/>
        </w:rPr>
      </w:pPr>
      <w:bookmarkStart w:id="22" w:name="_Toc15396606"/>
      <w:bookmarkStart w:id="23"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2"/>
      <w:bookmarkEnd w:id="23"/>
    </w:p>
    <w:p w14:paraId="150A6B4B">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2663.28</w:t>
      </w:r>
      <w:r>
        <w:rPr>
          <w:rFonts w:hint="eastAsia" w:eastAsia="仿宋_GB2312" w:cs="仿宋_GB2312"/>
          <w:sz w:val="32"/>
          <w:szCs w:val="32"/>
        </w:rPr>
        <w:t>万元。与上年度相比，财政拨款收入、支出总计各增加</w:t>
      </w:r>
      <w:r>
        <w:rPr>
          <w:rFonts w:hint="eastAsia" w:eastAsia="仿宋_GB2312" w:cs="仿宋_GB2312"/>
          <w:sz w:val="32"/>
          <w:szCs w:val="32"/>
          <w:lang w:val="en-US" w:eastAsia="zh-CN"/>
        </w:rPr>
        <w:t>2096.33</w:t>
      </w:r>
      <w:r>
        <w:rPr>
          <w:rFonts w:hint="eastAsia" w:eastAsia="仿宋_GB2312" w:cs="仿宋_GB2312"/>
          <w:sz w:val="32"/>
          <w:szCs w:val="32"/>
        </w:rPr>
        <w:t>万元，增长</w:t>
      </w:r>
      <w:r>
        <w:rPr>
          <w:rFonts w:hint="eastAsia" w:eastAsia="仿宋_GB2312" w:cs="仿宋_GB2312"/>
          <w:sz w:val="32"/>
          <w:szCs w:val="32"/>
          <w:lang w:val="en-US" w:eastAsia="zh-CN"/>
        </w:rPr>
        <w:t>369.76</w:t>
      </w:r>
      <w:r>
        <w:rPr>
          <w:rFonts w:hint="eastAsia" w:eastAsia="仿宋_GB2312" w:cs="仿宋_GB2312"/>
          <w:sz w:val="32"/>
          <w:szCs w:val="32"/>
        </w:rPr>
        <w:t>%。主要变动原因是</w:t>
      </w:r>
      <w:r>
        <w:rPr>
          <w:rFonts w:hint="eastAsia" w:eastAsia="仿宋_GB2312" w:cs="仿宋_GB2312"/>
          <w:sz w:val="32"/>
          <w:szCs w:val="32"/>
          <w:lang w:val="en-US" w:eastAsia="zh-CN"/>
        </w:rPr>
        <w:t>2025年申请了2000万元的政府专项债。</w:t>
      </w:r>
    </w:p>
    <w:p w14:paraId="30C16AE0">
      <w:pPr>
        <w:pStyle w:val="2"/>
        <w:rPr>
          <w:rFonts w:hint="default"/>
          <w:lang w:val="en-US" w:eastAsia="zh-CN"/>
        </w:rPr>
      </w:pPr>
    </w:p>
    <w:p w14:paraId="3A742D92">
      <w:pPr>
        <w:pStyle w:val="2"/>
        <w:rPr>
          <w:rFonts w:eastAsia="仿宋_GB2312" w:cs="仿宋_GB2312"/>
          <w:sz w:val="32"/>
          <w:szCs w:val="32"/>
        </w:rPr>
      </w:pPr>
      <w:r>
        <w:rPr>
          <w:rFonts w:hint="eastAsia" w:eastAsia="仿宋_GB2312"/>
          <w:lang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EE9717D">
      <w:pPr>
        <w:spacing w:line="600" w:lineRule="exact"/>
        <w:ind w:firstLine="640" w:firstLineChars="200"/>
        <w:outlineLvl w:val="1"/>
        <w:rPr>
          <w:rFonts w:hint="eastAsia" w:eastAsia="黑体"/>
          <w:sz w:val="32"/>
          <w:szCs w:val="32"/>
        </w:rPr>
      </w:pPr>
      <w:bookmarkStart w:id="24" w:name="_Toc15396607"/>
      <w:bookmarkStart w:id="25" w:name="_Toc15377209"/>
    </w:p>
    <w:p w14:paraId="5C2E4A29">
      <w:pPr>
        <w:spacing w:line="600" w:lineRule="exact"/>
        <w:ind w:firstLine="640" w:firstLineChars="200"/>
        <w:outlineLvl w:val="1"/>
        <w:rPr>
          <w:rStyle w:val="29"/>
          <w:rFonts w:ascii="Times New Roman" w:hAnsi="Times New Roman" w:eastAsia="黑体"/>
          <w:b w:val="0"/>
        </w:rPr>
      </w:pPr>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4"/>
      <w:bookmarkEnd w:id="25"/>
    </w:p>
    <w:p w14:paraId="08518695">
      <w:pPr>
        <w:spacing w:line="600" w:lineRule="exact"/>
        <w:ind w:firstLine="643" w:firstLineChars="200"/>
        <w:outlineLvl w:val="2"/>
        <w:rPr>
          <w:rFonts w:eastAsia="楷体_GB2312" w:cs="楷体_GB2312"/>
          <w:b/>
          <w:sz w:val="32"/>
          <w:szCs w:val="32"/>
        </w:rPr>
      </w:pPr>
      <w:bookmarkStart w:id="26" w:name="_Toc15377210"/>
      <w:r>
        <w:rPr>
          <w:rFonts w:hint="eastAsia" w:eastAsia="楷体_GB2312" w:cs="楷体_GB2312"/>
          <w:b/>
          <w:sz w:val="32"/>
          <w:szCs w:val="32"/>
        </w:rPr>
        <w:t>（一）一般公共预算财政拨款支出决算总体情况</w:t>
      </w:r>
      <w:bookmarkEnd w:id="26"/>
    </w:p>
    <w:p w14:paraId="734A197D">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2638.28</w:t>
      </w:r>
      <w:r>
        <w:rPr>
          <w:rFonts w:hint="eastAsia" w:eastAsia="仿宋_GB2312" w:cs="仿宋_GB2312"/>
          <w:sz w:val="32"/>
          <w:szCs w:val="32"/>
        </w:rPr>
        <w:t>万元，占本年支出合计的</w:t>
      </w:r>
      <w:r>
        <w:rPr>
          <w:rFonts w:hint="eastAsia" w:eastAsia="仿宋_GB2312" w:cs="仿宋_GB2312"/>
          <w:sz w:val="32"/>
          <w:szCs w:val="32"/>
          <w:lang w:val="en-US" w:eastAsia="zh-CN"/>
        </w:rPr>
        <w:t>13.02</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2071.33</w:t>
      </w:r>
      <w:r>
        <w:rPr>
          <w:rFonts w:hint="eastAsia" w:eastAsia="仿宋_GB2312" w:cs="仿宋_GB2312"/>
          <w:sz w:val="32"/>
          <w:szCs w:val="32"/>
        </w:rPr>
        <w:t>万元，增长</w:t>
      </w:r>
      <w:r>
        <w:rPr>
          <w:rFonts w:hint="eastAsia" w:eastAsia="仿宋_GB2312" w:cs="仿宋_GB2312"/>
          <w:sz w:val="32"/>
          <w:szCs w:val="32"/>
          <w:lang w:val="en-US" w:eastAsia="zh-CN"/>
        </w:rPr>
        <w:t>365.35</w:t>
      </w:r>
      <w:r>
        <w:rPr>
          <w:rFonts w:hint="eastAsia" w:eastAsia="仿宋_GB2312" w:cs="仿宋_GB2312"/>
          <w:sz w:val="32"/>
          <w:szCs w:val="32"/>
        </w:rPr>
        <w:t>%。主要变动原因是</w:t>
      </w:r>
      <w:r>
        <w:rPr>
          <w:rFonts w:hint="eastAsia" w:eastAsia="仿宋_GB2312" w:cs="仿宋_GB2312"/>
          <w:sz w:val="32"/>
          <w:szCs w:val="32"/>
          <w:lang w:val="en-US" w:eastAsia="zh-CN"/>
        </w:rPr>
        <w:t>2025年申请了2000万元的政府专项债。</w:t>
      </w:r>
    </w:p>
    <w:p w14:paraId="74A2919E">
      <w:pPr>
        <w:pStyle w:val="2"/>
        <w:rPr>
          <w:rFonts w:hint="eastAsia" w:eastAsia="楷体_GB2312" w:cs="楷体_GB2312"/>
          <w:b/>
          <w:sz w:val="32"/>
          <w:szCs w:val="32"/>
        </w:rPr>
      </w:pPr>
      <w:bookmarkStart w:id="27" w:name="_Toc15377211"/>
      <w:r>
        <w:rPr>
          <w:rFonts w:hint="eastAsia"/>
          <w:lang w:eastAsia="zh-CN"/>
        </w:rPr>
        <w:drawing>
          <wp:anchor distT="0" distB="0" distL="114300" distR="114300" simplePos="0" relativeHeight="251662336" behindDoc="0" locked="0" layoutInCell="1" allowOverlap="1">
            <wp:simplePos x="0" y="0"/>
            <wp:positionH relativeFrom="column">
              <wp:posOffset>100330</wp:posOffset>
            </wp:positionH>
            <wp:positionV relativeFrom="paragraph">
              <wp:posOffset>-5517515</wp:posOffset>
            </wp:positionV>
            <wp:extent cx="4869815" cy="2557145"/>
            <wp:effectExtent l="4445" t="4445" r="21590" b="10160"/>
            <wp:wrapSquare wrapText="bothSides"/>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146A9AD">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（二）一般公共预算财政拨款支出决算结构情况</w:t>
      </w:r>
      <w:bookmarkEnd w:id="27"/>
    </w:p>
    <w:p w14:paraId="2F074EFA">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2638.28</w:t>
      </w:r>
      <w:r>
        <w:rPr>
          <w:rFonts w:hint="eastAsia" w:eastAsia="仿宋_GB2312" w:cs="仿宋_GB2312"/>
          <w:sz w:val="32"/>
          <w:szCs w:val="32"/>
        </w:rPr>
        <w:t>万元，主要用于以下方面：一般公共服务支出</w:t>
      </w:r>
      <w:r>
        <w:rPr>
          <w:rFonts w:hint="eastAsia" w:eastAsia="仿宋_GB2312" w:cs="仿宋_GB2312"/>
          <w:sz w:val="32"/>
          <w:szCs w:val="32"/>
          <w:lang w:val="en-US" w:eastAsia="zh-CN"/>
        </w:rPr>
        <w:t>2.25</w:t>
      </w:r>
      <w:r>
        <w:rPr>
          <w:rFonts w:hint="eastAsia" w:eastAsia="仿宋_GB2312" w:cs="仿宋_GB2312"/>
          <w:sz w:val="32"/>
          <w:szCs w:val="32"/>
        </w:rPr>
        <w:t>万元，占</w:t>
      </w:r>
      <w:r>
        <w:rPr>
          <w:rFonts w:hint="eastAsia" w:eastAsia="仿宋_GB2312" w:cs="仿宋_GB2312"/>
          <w:sz w:val="32"/>
          <w:szCs w:val="32"/>
          <w:lang w:val="en-US" w:eastAsia="zh-CN"/>
        </w:rPr>
        <w:t>0.09</w:t>
      </w:r>
      <w:r>
        <w:rPr>
          <w:rFonts w:hint="eastAsia" w:eastAsia="仿宋_GB2312" w:cs="仿宋_GB2312"/>
          <w:sz w:val="32"/>
          <w:szCs w:val="32"/>
        </w:rPr>
        <w:t>%；教育支出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%；科学技术支出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%；文化旅游体育与传媒支出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%；社会保障和就业支出</w:t>
      </w:r>
      <w:r>
        <w:rPr>
          <w:rFonts w:hint="eastAsia" w:eastAsia="仿宋_GB2312" w:cs="仿宋_GB2312"/>
          <w:sz w:val="32"/>
          <w:szCs w:val="32"/>
          <w:lang w:val="en-US" w:eastAsia="zh-CN"/>
        </w:rPr>
        <w:t>299.7</w:t>
      </w:r>
      <w:r>
        <w:rPr>
          <w:rFonts w:hint="eastAsia" w:eastAsia="仿宋_GB2312" w:cs="仿宋_GB2312"/>
          <w:sz w:val="32"/>
          <w:szCs w:val="32"/>
        </w:rPr>
        <w:t>万元，占</w:t>
      </w:r>
      <w:r>
        <w:rPr>
          <w:rFonts w:hint="eastAsia" w:eastAsia="仿宋_GB2312" w:cs="仿宋_GB2312"/>
          <w:sz w:val="32"/>
          <w:szCs w:val="32"/>
          <w:lang w:val="en-US" w:eastAsia="zh-CN"/>
        </w:rPr>
        <w:t>11.36</w:t>
      </w:r>
      <w:r>
        <w:rPr>
          <w:rFonts w:hint="eastAsia" w:eastAsia="仿宋_GB2312" w:cs="仿宋_GB2312"/>
          <w:sz w:val="32"/>
          <w:szCs w:val="32"/>
        </w:rPr>
        <w:t>%；卫生健康支出</w:t>
      </w:r>
      <w:r>
        <w:rPr>
          <w:rFonts w:hint="eastAsia" w:eastAsia="仿宋_GB2312" w:cs="仿宋_GB2312"/>
          <w:sz w:val="32"/>
          <w:szCs w:val="32"/>
          <w:lang w:val="en-US" w:eastAsia="zh-CN"/>
        </w:rPr>
        <w:t>336.32</w:t>
      </w:r>
      <w:r>
        <w:rPr>
          <w:rFonts w:hint="eastAsia" w:eastAsia="仿宋_GB2312" w:cs="仿宋_GB2312"/>
          <w:sz w:val="32"/>
          <w:szCs w:val="32"/>
        </w:rPr>
        <w:t>万元，占</w:t>
      </w:r>
      <w:r>
        <w:rPr>
          <w:rFonts w:hint="eastAsia" w:eastAsia="仿宋_GB2312" w:cs="仿宋_GB2312"/>
          <w:sz w:val="32"/>
          <w:szCs w:val="32"/>
          <w:lang w:val="en-US" w:eastAsia="zh-CN"/>
        </w:rPr>
        <w:t>12.75</w:t>
      </w:r>
      <w:r>
        <w:rPr>
          <w:rFonts w:hint="eastAsia" w:eastAsia="仿宋_GB2312" w:cs="仿宋_GB2312"/>
          <w:sz w:val="32"/>
          <w:szCs w:val="32"/>
        </w:rPr>
        <w:t>%；住房保障支出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val="en-US" w:eastAsia="zh-CN"/>
        </w:rPr>
        <w:t>其他支出2000万元，占75.8%。</w:t>
      </w:r>
    </w:p>
    <w:p w14:paraId="148AC05A">
      <w:pPr>
        <w:pStyle w:val="2"/>
        <w:rPr>
          <w:rFonts w:hint="eastAsia" w:eastAsia="仿宋_GB2312"/>
          <w:lang w:eastAsia="zh-CN"/>
        </w:rPr>
      </w:pPr>
      <w:r>
        <w:rPr>
          <w:rFonts w:hint="eastAsia" w:eastAsia="仿宋_GB2312"/>
          <w:lang w:eastAsia="zh-CN"/>
        </w:rPr>
        <w:drawing>
          <wp:inline distT="0" distB="0" distL="114300" distR="114300">
            <wp:extent cx="5256530" cy="2988310"/>
            <wp:effectExtent l="5080" t="4445" r="15240" b="17145"/>
            <wp:docPr id="11" name="图表 11"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8440DE">
      <w:pPr>
        <w:spacing w:line="600" w:lineRule="exact"/>
        <w:ind w:firstLine="640"/>
        <w:rPr>
          <w:rFonts w:eastAsia="仿宋_GB2312" w:cs="仿宋_GB2312"/>
          <w:sz w:val="32"/>
          <w:szCs w:val="32"/>
        </w:rPr>
      </w:pPr>
    </w:p>
    <w:p w14:paraId="6EFEF604">
      <w:pPr>
        <w:spacing w:line="600" w:lineRule="exact"/>
        <w:ind w:firstLine="643" w:firstLineChars="200"/>
        <w:outlineLvl w:val="2"/>
        <w:rPr>
          <w:rFonts w:eastAsia="楷体_GB2312" w:cs="楷体_GB2312"/>
          <w:b/>
          <w:sz w:val="32"/>
          <w:szCs w:val="32"/>
        </w:rPr>
      </w:pPr>
      <w:bookmarkStart w:id="28" w:name="_Toc15377212"/>
      <w:r>
        <w:rPr>
          <w:rFonts w:hint="eastAsia" w:eastAsia="楷体_GB2312" w:cs="楷体_GB2312"/>
          <w:b/>
          <w:sz w:val="32"/>
          <w:szCs w:val="32"/>
        </w:rPr>
        <w:t>（三）一般公共预算财政拨款支出决算具体情况</w:t>
      </w:r>
      <w:bookmarkEnd w:id="28"/>
    </w:p>
    <w:p w14:paraId="6771E1EA">
      <w:pPr>
        <w:spacing w:line="600" w:lineRule="exact"/>
        <w:ind w:firstLine="640"/>
        <w:rPr>
          <w:rFonts w:eastAsia="仿宋_GB2312" w:cs="仿宋_GB2312"/>
          <w:sz w:val="32"/>
          <w:szCs w:val="32"/>
        </w:rPr>
      </w:pPr>
      <w:bookmarkStart w:id="29" w:name="_Toc15378460"/>
      <w:bookmarkStart w:id="30" w:name="_Toc15377444"/>
      <w:bookmarkStart w:id="31" w:name="_Toc15377213"/>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2638.28</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9"/>
      <w:bookmarkEnd w:id="30"/>
      <w:bookmarkEnd w:id="31"/>
    </w:p>
    <w:p w14:paraId="64839A9F">
      <w:pPr>
        <w:numPr>
          <w:ilvl w:val="0"/>
          <w:numId w:val="3"/>
        </w:numPr>
        <w:spacing w:line="600" w:lineRule="exact"/>
        <w:ind w:firstLine="640"/>
        <w:rPr>
          <w:rFonts w:hint="eastAsia" w:eastAsia="仿宋_GB2312" w:cs="仿宋_GB2312"/>
          <w:sz w:val="32"/>
          <w:szCs w:val="32"/>
          <w:lang w:eastAsia="zh-CN"/>
        </w:rPr>
      </w:pPr>
      <w:r>
        <w:rPr>
          <w:rFonts w:hint="eastAsia" w:eastAsia="仿宋_GB2312" w:cs="仿宋_GB2312"/>
          <w:sz w:val="32"/>
          <w:szCs w:val="32"/>
        </w:rPr>
        <w:t>一般公共服务（类）</w:t>
      </w:r>
      <w:r>
        <w:rPr>
          <w:rFonts w:hint="eastAsia" w:eastAsia="仿宋_GB2312" w:cs="仿宋_GB2312"/>
          <w:sz w:val="32"/>
          <w:szCs w:val="32"/>
          <w:lang w:val="en-US" w:eastAsia="zh-CN"/>
        </w:rPr>
        <w:t>组织事务</w:t>
      </w:r>
      <w:r>
        <w:rPr>
          <w:rFonts w:hint="eastAsia" w:eastAsia="仿宋_GB2312" w:cs="仿宋_GB2312"/>
          <w:sz w:val="32"/>
          <w:szCs w:val="32"/>
        </w:rPr>
        <w:t>（款）</w:t>
      </w:r>
      <w:r>
        <w:rPr>
          <w:rFonts w:hint="eastAsia" w:eastAsia="仿宋_GB2312" w:cs="仿宋_GB2312"/>
          <w:sz w:val="32"/>
          <w:szCs w:val="32"/>
          <w:lang w:val="en-US" w:eastAsia="zh-CN"/>
        </w:rPr>
        <w:t>其他组织事务支出</w:t>
      </w:r>
      <w:r>
        <w:rPr>
          <w:rFonts w:hint="eastAsia" w:eastAsia="仿宋_GB2312" w:cs="仿宋_GB2312"/>
          <w:sz w:val="32"/>
          <w:szCs w:val="32"/>
        </w:rPr>
        <w:t>（项）：支出决算为</w:t>
      </w:r>
      <w:r>
        <w:rPr>
          <w:rFonts w:hint="eastAsia" w:eastAsia="仿宋_GB2312" w:cs="仿宋_GB2312"/>
          <w:sz w:val="32"/>
          <w:szCs w:val="32"/>
          <w:lang w:val="en-US" w:eastAsia="zh-CN"/>
        </w:rPr>
        <w:t>2.25</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eastAsia="zh-CN"/>
        </w:rPr>
        <w:t>。</w:t>
      </w:r>
    </w:p>
    <w:p w14:paraId="2F3362E2">
      <w:pPr>
        <w:numPr>
          <w:ilvl w:val="0"/>
          <w:numId w:val="3"/>
        </w:numPr>
        <w:spacing w:line="600" w:lineRule="exact"/>
        <w:ind w:left="0" w:leftChars="0" w:firstLine="640" w:firstLineChars="0"/>
        <w:rPr>
          <w:rFonts w:hint="eastAsia" w:eastAsia="仿宋_GB2312" w:cs="仿宋_GB2312"/>
          <w:sz w:val="32"/>
          <w:szCs w:val="32"/>
        </w:rPr>
      </w:pPr>
      <w:r>
        <w:rPr>
          <w:rFonts w:hint="eastAsia" w:eastAsia="仿宋_GB2312" w:cs="仿宋_GB2312"/>
          <w:sz w:val="32"/>
          <w:szCs w:val="32"/>
        </w:rPr>
        <w:t>社会保障和就业（类）</w:t>
      </w:r>
      <w:r>
        <w:rPr>
          <w:rFonts w:hint="eastAsia" w:eastAsia="仿宋_GB2312" w:cs="仿宋_GB2312"/>
          <w:sz w:val="32"/>
          <w:szCs w:val="32"/>
          <w:lang w:val="en-US" w:eastAsia="zh-CN"/>
        </w:rPr>
        <w:t>行政事业单位养老支出</w:t>
      </w:r>
      <w:r>
        <w:rPr>
          <w:rFonts w:hint="eastAsia" w:eastAsia="仿宋_GB2312" w:cs="仿宋_GB2312"/>
          <w:sz w:val="32"/>
          <w:szCs w:val="32"/>
        </w:rPr>
        <w:t>（款）</w:t>
      </w:r>
      <w:r>
        <w:rPr>
          <w:rFonts w:hint="eastAsia" w:eastAsia="仿宋_GB2312" w:cs="仿宋_GB2312"/>
          <w:sz w:val="32"/>
          <w:szCs w:val="32"/>
          <w:lang w:val="en-US" w:eastAsia="zh-CN"/>
        </w:rPr>
        <w:t>事业单位离退休</w:t>
      </w:r>
      <w:r>
        <w:rPr>
          <w:rFonts w:hint="eastAsia" w:eastAsia="仿宋_GB2312" w:cs="仿宋_GB2312"/>
          <w:sz w:val="32"/>
          <w:szCs w:val="32"/>
        </w:rPr>
        <w:t>（项）：支出决算为</w:t>
      </w:r>
      <w:r>
        <w:rPr>
          <w:rFonts w:hint="eastAsia" w:eastAsia="仿宋_GB2312" w:cs="仿宋_GB2312"/>
          <w:sz w:val="32"/>
          <w:szCs w:val="32"/>
          <w:lang w:val="en-US" w:eastAsia="zh-CN"/>
        </w:rPr>
        <w:t>294.99</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%，社会保障和就业（类）</w:t>
      </w:r>
      <w:r>
        <w:rPr>
          <w:rFonts w:hint="eastAsia" w:eastAsia="仿宋_GB2312" w:cs="仿宋_GB2312"/>
          <w:sz w:val="32"/>
          <w:szCs w:val="32"/>
          <w:lang w:val="en-US" w:eastAsia="zh-CN"/>
        </w:rPr>
        <w:t>抚恤（款）死亡抚恤：支出决算：4.71万元，完成预算100%。</w:t>
      </w:r>
    </w:p>
    <w:p w14:paraId="2074264C">
      <w:pPr>
        <w:numPr>
          <w:ilvl w:val="0"/>
          <w:numId w:val="3"/>
        </w:numPr>
        <w:spacing w:line="600" w:lineRule="exact"/>
        <w:ind w:left="0" w:leftChars="0" w:firstLine="640" w:firstLineChars="0"/>
        <w:rPr>
          <w:rFonts w:eastAsia="仿宋_GB2312" w:cs="仿宋_GB2312"/>
          <w:sz w:val="32"/>
          <w:szCs w:val="32"/>
        </w:rPr>
      </w:pPr>
      <w:r>
        <w:rPr>
          <w:rFonts w:hint="eastAsia" w:eastAsia="仿宋_GB2312" w:cs="仿宋_GB2312"/>
          <w:sz w:val="32"/>
          <w:szCs w:val="32"/>
        </w:rPr>
        <w:t>卫生健康（类）</w:t>
      </w:r>
      <w:r>
        <w:rPr>
          <w:rFonts w:hint="eastAsia" w:eastAsia="仿宋_GB2312" w:cs="仿宋_GB2312"/>
          <w:sz w:val="32"/>
          <w:szCs w:val="32"/>
          <w:lang w:val="en-US" w:eastAsia="zh-CN"/>
        </w:rPr>
        <w:t>公立医院</w:t>
      </w:r>
      <w:r>
        <w:rPr>
          <w:rFonts w:hint="eastAsia" w:eastAsia="仿宋_GB2312" w:cs="仿宋_GB2312"/>
          <w:sz w:val="32"/>
          <w:szCs w:val="32"/>
        </w:rPr>
        <w:t>（款）</w:t>
      </w:r>
      <w:r>
        <w:rPr>
          <w:rFonts w:hint="eastAsia" w:eastAsia="仿宋_GB2312" w:cs="仿宋_GB2312"/>
          <w:sz w:val="32"/>
          <w:szCs w:val="32"/>
          <w:lang w:val="en-US" w:eastAsia="zh-CN"/>
        </w:rPr>
        <w:t>其他公立医院支出</w:t>
      </w:r>
      <w:r>
        <w:rPr>
          <w:rFonts w:hint="eastAsia" w:eastAsia="仿宋_GB2312" w:cs="仿宋_GB2312"/>
          <w:sz w:val="32"/>
          <w:szCs w:val="32"/>
        </w:rPr>
        <w:t>（项）：支出决算为</w:t>
      </w:r>
      <w:r>
        <w:rPr>
          <w:rFonts w:hint="eastAsia" w:eastAsia="仿宋_GB2312" w:cs="仿宋_GB2312"/>
          <w:sz w:val="32"/>
          <w:szCs w:val="32"/>
          <w:lang w:val="en-US" w:eastAsia="zh-CN"/>
        </w:rPr>
        <w:t>47.94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%，卫生健康（类）</w:t>
      </w:r>
      <w:r>
        <w:rPr>
          <w:rFonts w:hint="eastAsia" w:eastAsia="仿宋_GB2312" w:cs="仿宋_GB2312"/>
          <w:sz w:val="32"/>
          <w:szCs w:val="32"/>
          <w:lang w:val="en-US" w:eastAsia="zh-CN"/>
        </w:rPr>
        <w:t>公共卫生（款）基本公共卫生服务（项）：支出决算为8万元，完成预算100%，</w:t>
      </w:r>
      <w:r>
        <w:rPr>
          <w:rFonts w:hint="eastAsia" w:eastAsia="仿宋_GB2312" w:cs="仿宋_GB2312"/>
          <w:sz w:val="32"/>
          <w:szCs w:val="32"/>
        </w:rPr>
        <w:t>卫生健康（类）</w:t>
      </w:r>
      <w:r>
        <w:rPr>
          <w:rFonts w:hint="eastAsia" w:eastAsia="仿宋_GB2312" w:cs="仿宋_GB2312"/>
          <w:sz w:val="32"/>
          <w:szCs w:val="32"/>
          <w:lang w:val="en-US" w:eastAsia="zh-CN"/>
        </w:rPr>
        <w:t>公共卫生（款）重大公共卫生服务（项）：支出决算为164.16万元，完成预算100%。</w:t>
      </w:r>
      <w:r>
        <w:rPr>
          <w:rFonts w:hint="eastAsia" w:eastAsia="仿宋_GB2312" w:cs="仿宋_GB2312"/>
          <w:sz w:val="32"/>
          <w:szCs w:val="32"/>
        </w:rPr>
        <w:t>卫生健康（类）</w:t>
      </w:r>
      <w:r>
        <w:rPr>
          <w:rFonts w:hint="eastAsia" w:eastAsia="仿宋_GB2312" w:cs="仿宋_GB2312"/>
          <w:sz w:val="32"/>
          <w:szCs w:val="32"/>
          <w:lang w:val="en-US" w:eastAsia="zh-CN"/>
        </w:rPr>
        <w:t>其他卫生健康支出（款）其他卫生健康支出：支出决算为116.22万元，完成预算100%。</w:t>
      </w:r>
    </w:p>
    <w:p w14:paraId="2DC67020">
      <w:pPr>
        <w:tabs>
          <w:tab w:val="right" w:pos="8306"/>
        </w:tabs>
        <w:spacing w:line="600" w:lineRule="exact"/>
        <w:ind w:firstLine="640"/>
        <w:outlineLvl w:val="1"/>
        <w:rPr>
          <w:rStyle w:val="29"/>
          <w:rFonts w:ascii="Times New Roman" w:hAnsi="Times New Roman"/>
        </w:rPr>
      </w:pPr>
      <w:bookmarkStart w:id="32" w:name="_Toc15377214"/>
      <w:bookmarkStart w:id="33"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2"/>
      <w:bookmarkEnd w:id="33"/>
      <w:r>
        <w:rPr>
          <w:rStyle w:val="29"/>
          <w:rFonts w:ascii="Times New Roman" w:hAnsi="Times New Roman" w:eastAsia="黑体"/>
          <w:b w:val="0"/>
        </w:rPr>
        <w:tab/>
      </w:r>
    </w:p>
    <w:p w14:paraId="2D5D7BEA">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299.7</w:t>
      </w:r>
      <w:r>
        <w:rPr>
          <w:rFonts w:hint="eastAsia" w:eastAsia="仿宋_GB2312" w:cs="仿宋_GB2312"/>
          <w:sz w:val="32"/>
          <w:szCs w:val="32"/>
        </w:rPr>
        <w:t>万元，其中：</w:t>
      </w:r>
    </w:p>
    <w:p w14:paraId="254AB9F9">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299.7</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w:t>
      </w:r>
      <w:r>
        <w:rPr>
          <w:rFonts w:hint="eastAsia" w:eastAsia="仿宋_GB2312" w:cs="仿宋_GB2312"/>
          <w:sz w:val="32"/>
          <w:szCs w:val="32"/>
          <w:lang w:val="en-US" w:eastAsia="zh-CN"/>
        </w:rPr>
        <w:t>41.3万元</w:t>
      </w:r>
      <w:r>
        <w:rPr>
          <w:rFonts w:hint="eastAsia" w:eastAsia="仿宋_GB2312" w:cs="仿宋_GB2312"/>
          <w:sz w:val="32"/>
          <w:szCs w:val="32"/>
        </w:rPr>
        <w:t>、退休费</w:t>
      </w:r>
      <w:r>
        <w:rPr>
          <w:rFonts w:hint="eastAsia" w:eastAsia="仿宋_GB2312" w:cs="仿宋_GB2312"/>
          <w:sz w:val="32"/>
          <w:szCs w:val="32"/>
          <w:lang w:val="en-US" w:eastAsia="zh-CN"/>
        </w:rPr>
        <w:t>2.2万元</w:t>
      </w:r>
      <w:r>
        <w:rPr>
          <w:rFonts w:hint="eastAsia" w:eastAsia="仿宋_GB2312" w:cs="仿宋_GB2312"/>
          <w:sz w:val="32"/>
          <w:szCs w:val="32"/>
        </w:rPr>
        <w:t>、抚恤金</w:t>
      </w:r>
      <w:r>
        <w:rPr>
          <w:rFonts w:hint="eastAsia" w:eastAsia="仿宋_GB2312" w:cs="仿宋_GB2312"/>
          <w:sz w:val="32"/>
          <w:szCs w:val="32"/>
          <w:lang w:val="en-US" w:eastAsia="zh-CN"/>
        </w:rPr>
        <w:t>4.72万元</w:t>
      </w:r>
      <w:r>
        <w:rPr>
          <w:rFonts w:hint="eastAsia" w:eastAsia="仿宋_GB2312" w:cs="仿宋_GB2312"/>
          <w:sz w:val="32"/>
          <w:szCs w:val="32"/>
        </w:rPr>
        <w:t>、生活补助</w:t>
      </w:r>
      <w:r>
        <w:rPr>
          <w:rFonts w:hint="eastAsia" w:eastAsia="仿宋_GB2312" w:cs="仿宋_GB2312"/>
          <w:sz w:val="32"/>
          <w:szCs w:val="32"/>
          <w:lang w:val="en-US" w:eastAsia="zh-CN"/>
        </w:rPr>
        <w:t>200.65万元</w:t>
      </w:r>
      <w:r>
        <w:rPr>
          <w:rFonts w:hint="eastAsia" w:eastAsia="仿宋_GB2312" w:cs="仿宋_GB2312"/>
          <w:sz w:val="32"/>
          <w:szCs w:val="32"/>
        </w:rPr>
        <w:t>、医疗费补助</w:t>
      </w:r>
      <w:r>
        <w:rPr>
          <w:rFonts w:hint="eastAsia" w:eastAsia="仿宋_GB2312" w:cs="仿宋_GB2312"/>
          <w:sz w:val="32"/>
          <w:szCs w:val="32"/>
          <w:lang w:val="en-US" w:eastAsia="zh-CN"/>
        </w:rPr>
        <w:t>32.32万元</w:t>
      </w:r>
      <w:r>
        <w:rPr>
          <w:rFonts w:hint="eastAsia" w:eastAsia="仿宋_GB2312" w:cs="仿宋_GB2312"/>
          <w:sz w:val="32"/>
          <w:szCs w:val="32"/>
        </w:rPr>
        <w:t>、奖励金、住房公积金、其他对个人和家庭的补助支出</w:t>
      </w:r>
      <w:r>
        <w:rPr>
          <w:rFonts w:hint="eastAsia" w:eastAsia="仿宋_GB2312" w:cs="仿宋_GB2312"/>
          <w:sz w:val="32"/>
          <w:szCs w:val="32"/>
          <w:lang w:val="en-US" w:eastAsia="zh-CN"/>
        </w:rPr>
        <w:t>18.51万元</w:t>
      </w:r>
      <w:r>
        <w:rPr>
          <w:rFonts w:hint="eastAsia" w:eastAsia="仿宋_GB2312" w:cs="仿宋_GB2312"/>
          <w:sz w:val="32"/>
          <w:szCs w:val="32"/>
        </w:rPr>
        <w:t>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0</w:t>
      </w:r>
      <w:r>
        <w:rPr>
          <w:rFonts w:hint="eastAsia" w:eastAsia="仿宋_GB2312" w:cs="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CB48FA4">
      <w:pPr>
        <w:spacing w:line="600" w:lineRule="exact"/>
        <w:ind w:firstLine="640"/>
        <w:outlineLvl w:val="1"/>
        <w:rPr>
          <w:rStyle w:val="29"/>
          <w:rFonts w:ascii="Times New Roman" w:hAnsi="Times New Roman" w:eastAsia="黑体"/>
          <w:b w:val="0"/>
        </w:rPr>
      </w:pPr>
      <w:bookmarkStart w:id="34" w:name="_Toc15377215"/>
      <w:bookmarkStart w:id="35"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4"/>
      <w:bookmarkEnd w:id="35"/>
    </w:p>
    <w:p w14:paraId="2DF31C8F">
      <w:pPr>
        <w:spacing w:line="600" w:lineRule="exact"/>
        <w:ind w:firstLine="643" w:firstLineChars="200"/>
        <w:outlineLvl w:val="2"/>
        <w:rPr>
          <w:rFonts w:eastAsia="楷体_GB2312" w:cs="楷体_GB2312"/>
          <w:b/>
          <w:sz w:val="32"/>
          <w:szCs w:val="32"/>
        </w:rPr>
      </w:pPr>
      <w:bookmarkStart w:id="36" w:name="_Toc15377216"/>
      <w:r>
        <w:rPr>
          <w:rFonts w:hint="eastAsia" w:eastAsia="楷体_GB2312" w:cs="楷体_GB2312"/>
          <w:b/>
          <w:sz w:val="32"/>
          <w:szCs w:val="32"/>
        </w:rPr>
        <w:t>（一）财政拨款“三公”经费支出决算总体情况说明</w:t>
      </w:r>
      <w:bookmarkEnd w:id="36"/>
    </w:p>
    <w:p w14:paraId="3CA7F9EE">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w:t>
      </w:r>
      <w:r>
        <w:rPr>
          <w:rFonts w:hint="eastAsia" w:eastAsia="仿宋_GB2312" w:cs="仿宋_GB2312"/>
          <w:sz w:val="32"/>
          <w:szCs w:val="32"/>
        </w:rPr>
        <w:t>万元，“三公”经费支出决算</w:t>
      </w:r>
      <w:r>
        <w:rPr>
          <w:rFonts w:hint="eastAsia" w:eastAsia="仿宋_GB2312" w:cs="仿宋_GB2312"/>
          <w:sz w:val="32"/>
          <w:szCs w:val="32"/>
          <w:lang w:val="en-US" w:eastAsia="zh-CN"/>
        </w:rPr>
        <w:t>与2024年度持平。</w:t>
      </w:r>
    </w:p>
    <w:p w14:paraId="1B020FFD">
      <w:pPr>
        <w:spacing w:line="600" w:lineRule="exact"/>
        <w:ind w:firstLine="643" w:firstLineChars="200"/>
        <w:outlineLvl w:val="2"/>
        <w:rPr>
          <w:rFonts w:eastAsia="楷体_GB2312" w:cs="楷体_GB2312"/>
          <w:b/>
          <w:sz w:val="32"/>
          <w:szCs w:val="32"/>
        </w:rPr>
      </w:pPr>
      <w:bookmarkStart w:id="37" w:name="_Toc15377217"/>
      <w:r>
        <w:rPr>
          <w:rFonts w:hint="eastAsia" w:eastAsia="楷体_GB2312" w:cs="楷体_GB2312"/>
          <w:b/>
          <w:sz w:val="32"/>
          <w:szCs w:val="32"/>
        </w:rPr>
        <w:t>（二）财政拨款“三公”经费支出决算具体情况说明</w:t>
      </w:r>
      <w:bookmarkEnd w:id="37"/>
    </w:p>
    <w:p w14:paraId="50206C25">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%；公务接待费支出决算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%。具体情况如下：</w:t>
      </w:r>
    </w:p>
    <w:p w14:paraId="2F18CF2E">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0C9C8FFB">
      <w:pPr>
        <w:numPr>
          <w:ilvl w:val="0"/>
          <w:numId w:val="4"/>
        </w:numPr>
        <w:spacing w:line="600" w:lineRule="exact"/>
        <w:ind w:firstLine="640"/>
        <w:rPr>
          <w:rFonts w:hint="eastAsia" w:eastAsia="仿宋_GB2312" w:cs="仿宋_GB2312"/>
          <w:sz w:val="32"/>
          <w:szCs w:val="32"/>
          <w:lang w:val="en-US" w:eastAsia="zh-CN"/>
        </w:rPr>
      </w:pPr>
      <w:r>
        <w:rPr>
          <w:rFonts w:hint="eastAsia" w:eastAsia="仿宋_GB2312" w:cs="仿宋_GB2312"/>
          <w:b/>
          <w:bCs/>
          <w:sz w:val="32"/>
          <w:szCs w:val="32"/>
        </w:rPr>
        <w:t>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val="en-US" w:eastAsia="zh-CN"/>
        </w:rPr>
        <w:t>与2024年度持平。</w:t>
      </w:r>
    </w:p>
    <w:p w14:paraId="73D36A60">
      <w:pPr>
        <w:numPr>
          <w:ilvl w:val="0"/>
          <w:numId w:val="4"/>
        </w:numPr>
        <w:spacing w:line="600" w:lineRule="exact"/>
        <w:ind w:left="0" w:leftChars="0" w:firstLine="640" w:firstLineChars="0"/>
        <w:rPr>
          <w:rFonts w:eastAsia="仿宋_GB2312" w:cs="仿宋_GB2312"/>
          <w:sz w:val="32"/>
          <w:szCs w:val="32"/>
        </w:rPr>
      </w:pPr>
      <w:r>
        <w:rPr>
          <w:rFonts w:hint="eastAsia" w:eastAsia="仿宋_GB2312" w:cs="仿宋_GB2312"/>
          <w:b/>
          <w:bCs/>
          <w:sz w:val="32"/>
          <w:szCs w:val="32"/>
        </w:rPr>
        <w:t>公务用车购置及运行维护费支出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 xml:space="preserve">与2024年度持平。                  </w:t>
      </w: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0</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1B128E1C">
      <w:pPr>
        <w:spacing w:line="600" w:lineRule="exact"/>
        <w:ind w:firstLine="640"/>
        <w:rPr>
          <w:rFonts w:hint="eastAsia"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0</w:t>
      </w:r>
      <w:r>
        <w:rPr>
          <w:rFonts w:hint="eastAsia" w:eastAsia="仿宋_GB2312" w:cs="仿宋_GB2312"/>
          <w:sz w:val="32"/>
          <w:szCs w:val="32"/>
        </w:rPr>
        <w:t>万元。</w:t>
      </w:r>
    </w:p>
    <w:p w14:paraId="313202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。其中：</w:t>
      </w:r>
    </w:p>
    <w:p w14:paraId="3057A712">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w:t>
      </w:r>
      <w:r>
        <w:rPr>
          <w:rFonts w:hint="eastAsia" w:eastAsia="仿宋_GB2312" w:cs="仿宋_GB2312"/>
          <w:sz w:val="32"/>
          <w:szCs w:val="32"/>
        </w:rPr>
        <w:t>万元，主国内公务接待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7D84FCD4">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0E81E82C">
      <w:pPr>
        <w:spacing w:line="600" w:lineRule="exact"/>
        <w:ind w:firstLine="640" w:firstLineChars="200"/>
        <w:outlineLvl w:val="1"/>
        <w:rPr>
          <w:rStyle w:val="29"/>
          <w:rFonts w:ascii="Times New Roman" w:hAnsi="Times New Roman" w:eastAsia="黑体"/>
        </w:rPr>
      </w:pPr>
      <w:bookmarkStart w:id="38" w:name="_Toc15396610"/>
      <w:bookmarkStart w:id="39" w:name="_Toc15377218"/>
      <w:r>
        <w:rPr>
          <w:rFonts w:hint="eastAsia" w:eastAsia="黑体"/>
          <w:sz w:val="32"/>
          <w:szCs w:val="32"/>
        </w:rPr>
        <w:t>八、</w:t>
      </w:r>
      <w:r>
        <w:rPr>
          <w:rStyle w:val="29"/>
          <w:rFonts w:hint="eastAsia" w:ascii="Times New Roman" w:hAnsi="Times New Roman" w:eastAsia="黑体"/>
          <w:b w:val="0"/>
        </w:rPr>
        <w:t>政府性基金预算支出决算情况说明</w:t>
      </w:r>
      <w:bookmarkEnd w:id="38"/>
      <w:bookmarkEnd w:id="39"/>
    </w:p>
    <w:p w14:paraId="44925559">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25</w:t>
      </w:r>
      <w:r>
        <w:rPr>
          <w:rFonts w:hint="eastAsia" w:eastAsia="仿宋_GB2312" w:cs="仿宋_GB2312"/>
          <w:sz w:val="32"/>
          <w:szCs w:val="32"/>
        </w:rPr>
        <w:t>万元，占本年支出合计的</w:t>
      </w:r>
      <w:r>
        <w:rPr>
          <w:rFonts w:hint="eastAsia" w:eastAsia="仿宋_GB2312" w:cs="仿宋_GB2312"/>
          <w:sz w:val="32"/>
          <w:szCs w:val="32"/>
          <w:lang w:val="en-US" w:eastAsia="zh-CN"/>
        </w:rPr>
        <w:t>0.11</w:t>
      </w:r>
      <w:r>
        <w:rPr>
          <w:rFonts w:hint="eastAsia" w:eastAsia="仿宋_GB2312" w:cs="仿宋_GB2312"/>
          <w:sz w:val="32"/>
          <w:szCs w:val="32"/>
        </w:rPr>
        <w:t>%。与上年度相比，政府性基金预算财政拨款支出增加</w:t>
      </w:r>
      <w:r>
        <w:rPr>
          <w:rFonts w:hint="eastAsia" w:eastAsia="仿宋_GB2312" w:cs="仿宋_GB2312"/>
          <w:sz w:val="32"/>
          <w:szCs w:val="32"/>
          <w:lang w:val="en-US" w:eastAsia="zh-CN"/>
        </w:rPr>
        <w:t>5</w:t>
      </w:r>
      <w:r>
        <w:rPr>
          <w:rFonts w:hint="eastAsia" w:eastAsia="仿宋_GB2312" w:cs="仿宋_GB2312"/>
          <w:sz w:val="32"/>
          <w:szCs w:val="32"/>
        </w:rPr>
        <w:t>万元，增长</w:t>
      </w:r>
      <w:r>
        <w:rPr>
          <w:rFonts w:hint="eastAsia" w:eastAsia="仿宋_GB2312" w:cs="仿宋_GB2312"/>
          <w:sz w:val="32"/>
          <w:szCs w:val="32"/>
          <w:lang w:val="en-US" w:eastAsia="zh-CN"/>
        </w:rPr>
        <w:t>25</w:t>
      </w:r>
      <w:r>
        <w:rPr>
          <w:rFonts w:hint="eastAsia" w:eastAsia="仿宋_GB2312" w:cs="仿宋_GB2312"/>
          <w:sz w:val="32"/>
          <w:szCs w:val="32"/>
        </w:rPr>
        <w:t>%。主要变动原因是</w:t>
      </w:r>
      <w:r>
        <w:rPr>
          <w:rFonts w:hint="eastAsia" w:eastAsia="仿宋_GB2312" w:cs="仿宋_GB2312"/>
          <w:sz w:val="32"/>
          <w:szCs w:val="32"/>
          <w:lang w:val="en-US" w:eastAsia="zh-CN"/>
        </w:rPr>
        <w:t>民政资金拨付了25万元的精神障碍康复指导资金。</w:t>
      </w:r>
    </w:p>
    <w:p w14:paraId="037DE962">
      <w:pPr>
        <w:spacing w:line="600" w:lineRule="exact"/>
        <w:ind w:left="630"/>
        <w:outlineLvl w:val="1"/>
        <w:rPr>
          <w:rStyle w:val="29"/>
          <w:rFonts w:ascii="Times New Roman" w:hAnsi="Times New Roman" w:eastAsia="黑体"/>
          <w:b w:val="0"/>
        </w:rPr>
      </w:pPr>
      <w:bookmarkStart w:id="40" w:name="_Toc15377219"/>
      <w:bookmarkStart w:id="41" w:name="_Toc15396611"/>
      <w:r>
        <w:rPr>
          <w:rStyle w:val="29"/>
          <w:rFonts w:hint="eastAsia" w:ascii="Times New Roman" w:hAnsi="Times New Roman" w:eastAsia="黑体"/>
          <w:b w:val="0"/>
        </w:rPr>
        <w:t>九、国有资本经营预算支出决算情况说明</w:t>
      </w:r>
      <w:bookmarkEnd w:id="40"/>
      <w:bookmarkEnd w:id="41"/>
    </w:p>
    <w:p w14:paraId="78CFF349">
      <w:pPr>
        <w:spacing w:line="600" w:lineRule="exact"/>
        <w:ind w:firstLine="640" w:firstLineChars="200"/>
        <w:outlineLvl w:val="1"/>
        <w:rPr>
          <w:rFonts w:hint="eastAsia" w:eastAsia="仿宋_GB2312" w:cs="仿宋_GB2312"/>
          <w:sz w:val="32"/>
          <w:szCs w:val="32"/>
          <w:lang w:val="en-US"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与</w:t>
      </w:r>
      <w:bookmarkStart w:id="42" w:name="_Toc15377221"/>
      <w:bookmarkStart w:id="43" w:name="_Toc15396612"/>
      <w:r>
        <w:rPr>
          <w:rFonts w:hint="eastAsia" w:eastAsia="仿宋_GB2312" w:cs="仿宋_GB2312"/>
          <w:sz w:val="32"/>
          <w:szCs w:val="32"/>
          <w:lang w:val="en-US" w:eastAsia="zh-CN"/>
        </w:rPr>
        <w:t>2024年度决算数持平。</w:t>
      </w:r>
    </w:p>
    <w:p w14:paraId="693EBCEC">
      <w:pPr>
        <w:spacing w:line="600" w:lineRule="exact"/>
        <w:ind w:left="630"/>
        <w:outlineLvl w:val="1"/>
        <w:rPr>
          <w:rStyle w:val="29"/>
          <w:rFonts w:ascii="Times New Roman" w:hAnsi="Times New Roman" w:eastAsia="黑体"/>
          <w:b w:val="0"/>
        </w:rPr>
      </w:pPr>
      <w:r>
        <w:rPr>
          <w:rStyle w:val="29"/>
          <w:rFonts w:hint="eastAsia" w:ascii="Times New Roman" w:hAnsi="Times New Roman" w:eastAsia="黑体"/>
          <w:b w:val="0"/>
        </w:rPr>
        <w:t>十、其他重要事项的情况说明</w:t>
      </w:r>
      <w:bookmarkEnd w:id="42"/>
      <w:bookmarkEnd w:id="43"/>
    </w:p>
    <w:p w14:paraId="6A83656B">
      <w:pPr>
        <w:spacing w:line="600" w:lineRule="exact"/>
        <w:ind w:firstLine="643" w:firstLineChars="200"/>
        <w:outlineLvl w:val="2"/>
        <w:rPr>
          <w:rFonts w:eastAsia="楷体_GB2312" w:cs="楷体_GB2312"/>
          <w:b/>
          <w:sz w:val="32"/>
          <w:szCs w:val="32"/>
        </w:rPr>
      </w:pPr>
      <w:bookmarkStart w:id="44" w:name="_Toc15377222"/>
      <w:r>
        <w:rPr>
          <w:rFonts w:hint="eastAsia" w:eastAsia="楷体_GB2312" w:cs="楷体_GB2312"/>
          <w:b/>
          <w:sz w:val="32"/>
          <w:szCs w:val="32"/>
        </w:rPr>
        <w:t>（一）机关运行经费支出情况</w:t>
      </w:r>
      <w:bookmarkEnd w:id="44"/>
    </w:p>
    <w:p w14:paraId="674B707A">
      <w:pPr>
        <w:spacing w:line="600" w:lineRule="exact"/>
        <w:ind w:firstLine="640" w:firstLineChars="200"/>
        <w:outlineLvl w:val="2"/>
        <w:rPr>
          <w:rFonts w:hint="eastAsia" w:eastAsia="仿宋_GB2312" w:cs="仿宋_GB2312"/>
          <w:sz w:val="32"/>
          <w:szCs w:val="32"/>
          <w:lang w:val="en-US" w:eastAsia="zh-CN"/>
        </w:rPr>
      </w:pPr>
      <w:r>
        <w:rPr>
          <w:rFonts w:hint="eastAsia" w:eastAsia="仿宋_GB2312" w:cs="仿宋_GB2312"/>
          <w:sz w:val="32"/>
          <w:szCs w:val="32"/>
        </w:rPr>
        <w:t>2025年度，</w:t>
      </w:r>
      <w:r>
        <w:rPr>
          <w:rFonts w:hint="eastAsia" w:eastAsia="仿宋_GB2312" w:cs="仿宋_GB2312"/>
          <w:sz w:val="32"/>
          <w:szCs w:val="32"/>
          <w:lang w:val="en-US" w:eastAsia="zh-CN"/>
        </w:rPr>
        <w:t>攀枝花市第三人民医院</w:t>
      </w:r>
      <w:r>
        <w:rPr>
          <w:rFonts w:hint="eastAsia" w:eastAsia="仿宋_GB2312" w:cs="仿宋_GB2312"/>
          <w:sz w:val="32"/>
          <w:szCs w:val="32"/>
        </w:rPr>
        <w:t>机关运行经费支出</w:t>
      </w:r>
      <w:r>
        <w:rPr>
          <w:rFonts w:hint="eastAsia" w:eastAsia="仿宋_GB2312" w:cs="仿宋_GB2312"/>
          <w:sz w:val="32"/>
          <w:szCs w:val="32"/>
          <w:lang w:val="en-US" w:eastAsia="zh-CN"/>
        </w:rPr>
        <w:t>0</w:t>
      </w:r>
      <w:r>
        <w:rPr>
          <w:rFonts w:hint="eastAsia" w:eastAsia="仿宋_GB2312" w:cs="仿宋_GB2312"/>
          <w:sz w:val="32"/>
          <w:szCs w:val="32"/>
        </w:rPr>
        <w:t>万元，</w:t>
      </w:r>
      <w:bookmarkStart w:id="45" w:name="_Toc15377223"/>
      <w:r>
        <w:rPr>
          <w:rFonts w:hint="eastAsia" w:eastAsia="仿宋_GB2312" w:cs="仿宋_GB2312"/>
          <w:sz w:val="32"/>
          <w:szCs w:val="32"/>
        </w:rPr>
        <w:t>与</w:t>
      </w:r>
      <w:r>
        <w:rPr>
          <w:rFonts w:hint="eastAsia" w:eastAsia="仿宋_GB2312" w:cs="仿宋_GB2312"/>
          <w:sz w:val="32"/>
          <w:szCs w:val="32"/>
          <w:lang w:val="en-US" w:eastAsia="zh-CN"/>
        </w:rPr>
        <w:t>2024年度决算数持平。</w:t>
      </w:r>
    </w:p>
    <w:p w14:paraId="29F1239E">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（二）政府采购支出情况</w:t>
      </w:r>
      <w:bookmarkEnd w:id="45"/>
    </w:p>
    <w:p w14:paraId="73BC65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2025年度，</w:t>
      </w:r>
      <w:r>
        <w:rPr>
          <w:rFonts w:hint="eastAsia" w:eastAsia="仿宋_GB2312" w:cs="仿宋_GB2312"/>
          <w:sz w:val="32"/>
          <w:szCs w:val="32"/>
          <w:lang w:val="en-US" w:eastAsia="zh-CN"/>
        </w:rPr>
        <w:t>攀枝花市第三人民医院</w:t>
      </w:r>
      <w:r>
        <w:rPr>
          <w:rFonts w:hint="eastAsia" w:eastAsia="仿宋_GB2312" w:cs="仿宋_GB2312"/>
          <w:sz w:val="32"/>
          <w:szCs w:val="32"/>
        </w:rPr>
        <w:t>政府采购支出总额</w:t>
      </w:r>
      <w:r>
        <w:rPr>
          <w:rFonts w:hint="eastAsia" w:eastAsia="仿宋_GB2312" w:cs="仿宋_GB2312"/>
          <w:sz w:val="32"/>
          <w:szCs w:val="32"/>
          <w:lang w:val="en-US" w:eastAsia="zh-CN"/>
        </w:rPr>
        <w:t>706.41</w:t>
      </w:r>
      <w:r>
        <w:rPr>
          <w:rFonts w:hint="eastAsia" w:eastAsia="仿宋_GB2312" w:cs="仿宋_GB2312"/>
          <w:sz w:val="32"/>
          <w:szCs w:val="32"/>
        </w:rPr>
        <w:t>万元，其中：政府采购货物支出</w:t>
      </w:r>
      <w:r>
        <w:rPr>
          <w:rFonts w:hint="eastAsia" w:eastAsia="仿宋_GB2312" w:cs="仿宋_GB2312"/>
          <w:sz w:val="32"/>
          <w:szCs w:val="32"/>
          <w:lang w:val="en-US" w:eastAsia="zh-CN"/>
        </w:rPr>
        <w:t>152.12</w:t>
      </w:r>
      <w:r>
        <w:rPr>
          <w:rFonts w:hint="eastAsia" w:eastAsia="仿宋_GB2312" w:cs="仿宋_GB2312"/>
          <w:sz w:val="32"/>
          <w:szCs w:val="32"/>
        </w:rPr>
        <w:t>万元、政府采购工程支出</w:t>
      </w:r>
      <w:r>
        <w:rPr>
          <w:rFonts w:hint="eastAsia" w:eastAsia="仿宋_GB2312" w:cs="仿宋_GB2312"/>
          <w:sz w:val="32"/>
          <w:szCs w:val="32"/>
          <w:lang w:val="en-US" w:eastAsia="zh-CN"/>
        </w:rPr>
        <w:t>111.47</w:t>
      </w:r>
      <w:r>
        <w:rPr>
          <w:rFonts w:hint="eastAsia" w:eastAsia="仿宋_GB2312" w:cs="仿宋_GB2312"/>
          <w:sz w:val="32"/>
          <w:szCs w:val="32"/>
        </w:rPr>
        <w:t>万元、政府采购服务支出</w:t>
      </w:r>
      <w:r>
        <w:rPr>
          <w:rFonts w:hint="eastAsia" w:eastAsia="仿宋_GB2312" w:cs="仿宋_GB2312"/>
          <w:sz w:val="32"/>
          <w:szCs w:val="32"/>
          <w:lang w:val="en-US" w:eastAsia="zh-CN"/>
        </w:rPr>
        <w:t>442.82</w:t>
      </w:r>
      <w:r>
        <w:rPr>
          <w:rFonts w:hint="eastAsia" w:eastAsia="仿宋_GB2312" w:cs="仿宋_GB2312"/>
          <w:sz w:val="32"/>
          <w:szCs w:val="32"/>
        </w:rPr>
        <w:t>万元。</w:t>
      </w:r>
      <w:r>
        <w:rPr>
          <w:rFonts w:hint="eastAsia" w:ascii="仿宋_GB2312" w:hAnsi="仿宋_GB2312" w:eastAsia="仿宋_GB2312" w:cs="仿宋_GB2312"/>
          <w:color w:val="auto"/>
          <w:kern w:val="2"/>
          <w:sz w:val="32"/>
          <w:szCs w:val="32"/>
          <w:highlight w:val="none"/>
          <w:lang w:val="en-US" w:eastAsia="zh-CN" w:bidi="ar-SA"/>
        </w:rPr>
        <w:t>主要用于</w:t>
      </w:r>
      <w:r>
        <w:rPr>
          <w:rFonts w:hint="eastAsia" w:ascii="仿宋_GB2312" w:eastAsia="仿宋_GB2312"/>
          <w:color w:val="auto"/>
          <w:sz w:val="32"/>
          <w:szCs w:val="32"/>
          <w:highlight w:val="none"/>
          <w:lang w:val="en-US" w:eastAsia="zh-CN"/>
        </w:rPr>
        <w:t>购买医疗设备、电脑打印机，物业费和医疗废物处置费等支出</w:t>
      </w:r>
      <w:r>
        <w:rPr>
          <w:rFonts w:hint="eastAsia" w:ascii="仿宋_GB2312" w:hAnsi="仿宋_GB2312" w:eastAsia="仿宋_GB2312" w:cs="仿宋_GB2312"/>
          <w:color w:val="auto"/>
          <w:kern w:val="2"/>
          <w:sz w:val="32"/>
          <w:szCs w:val="32"/>
          <w:highlight w:val="none"/>
          <w:lang w:val="en-US" w:eastAsia="zh-CN" w:bidi="ar-SA"/>
        </w:rPr>
        <w:t>。</w:t>
      </w:r>
    </w:p>
    <w:p w14:paraId="15667AC7">
      <w:pPr>
        <w:spacing w:line="600" w:lineRule="exact"/>
        <w:ind w:firstLine="640"/>
        <w:rPr>
          <w:rFonts w:eastAsia="仿宋_GB2312" w:cs="仿宋_GB2312"/>
          <w:sz w:val="32"/>
          <w:szCs w:val="32"/>
        </w:rPr>
      </w:pPr>
      <w:r>
        <w:rPr>
          <w:rFonts w:hint="eastAsia" w:eastAsia="仿宋_GB2312" w:cs="仿宋_GB2312"/>
          <w:sz w:val="32"/>
          <w:szCs w:val="32"/>
        </w:rPr>
        <w:t>授予中小企业合同金额</w:t>
      </w:r>
      <w:r>
        <w:rPr>
          <w:rFonts w:hint="eastAsia" w:eastAsia="仿宋_GB2312" w:cs="仿宋_GB2312"/>
          <w:sz w:val="32"/>
          <w:szCs w:val="32"/>
          <w:lang w:val="en-US" w:eastAsia="zh-CN"/>
        </w:rPr>
        <w:t>612.28</w:t>
      </w:r>
      <w:r>
        <w:rPr>
          <w:rFonts w:hint="eastAsia" w:eastAsia="仿宋_GB2312" w:cs="仿宋_GB2312"/>
          <w:sz w:val="32"/>
          <w:szCs w:val="32"/>
        </w:rPr>
        <w:t>万元，占政府采购支出总额的</w:t>
      </w:r>
      <w:r>
        <w:rPr>
          <w:rFonts w:hint="eastAsia" w:eastAsia="仿宋_GB2312" w:cs="仿宋_GB2312"/>
          <w:sz w:val="32"/>
          <w:szCs w:val="32"/>
          <w:lang w:val="en-US" w:eastAsia="zh-CN"/>
        </w:rPr>
        <w:t>86.67</w:t>
      </w:r>
      <w:r>
        <w:rPr>
          <w:rFonts w:hint="eastAsia" w:eastAsia="仿宋_GB2312" w:cs="仿宋_GB2312"/>
          <w:sz w:val="32"/>
          <w:szCs w:val="32"/>
        </w:rPr>
        <w:t>%，其中：授予小微企业合同金额</w:t>
      </w:r>
      <w:r>
        <w:rPr>
          <w:rFonts w:hint="eastAsia" w:eastAsia="仿宋_GB2312" w:cs="仿宋_GB2312"/>
          <w:sz w:val="32"/>
          <w:szCs w:val="32"/>
          <w:lang w:val="en-US" w:eastAsia="zh-CN"/>
        </w:rPr>
        <w:t>612.02</w:t>
      </w:r>
      <w:r>
        <w:rPr>
          <w:rFonts w:hint="eastAsia" w:eastAsia="仿宋_GB2312" w:cs="仿宋_GB2312"/>
          <w:sz w:val="32"/>
          <w:szCs w:val="32"/>
        </w:rPr>
        <w:t>万元，占政府采购支出总额的</w:t>
      </w:r>
      <w:r>
        <w:rPr>
          <w:rFonts w:hint="eastAsia" w:eastAsia="仿宋_GB2312" w:cs="仿宋_GB2312"/>
          <w:sz w:val="32"/>
          <w:szCs w:val="32"/>
          <w:lang w:val="en-US" w:eastAsia="zh-CN"/>
        </w:rPr>
        <w:t>86.64</w:t>
      </w:r>
      <w:r>
        <w:rPr>
          <w:rFonts w:hint="eastAsia" w:eastAsia="仿宋_GB2312" w:cs="仿宋_GB2312"/>
          <w:sz w:val="32"/>
          <w:szCs w:val="32"/>
        </w:rPr>
        <w:t>%。</w:t>
      </w:r>
    </w:p>
    <w:p w14:paraId="5C50B38F">
      <w:pPr>
        <w:spacing w:line="600" w:lineRule="exact"/>
        <w:ind w:firstLine="643" w:firstLineChars="200"/>
        <w:outlineLvl w:val="2"/>
        <w:rPr>
          <w:rFonts w:eastAsia="楷体_GB2312" w:cs="楷体_GB2312"/>
          <w:b/>
          <w:sz w:val="32"/>
          <w:szCs w:val="32"/>
        </w:rPr>
      </w:pPr>
      <w:bookmarkStart w:id="46" w:name="_Toc15377224"/>
      <w:r>
        <w:rPr>
          <w:rFonts w:hint="eastAsia" w:eastAsia="楷体_GB2312" w:cs="楷体_GB2312"/>
          <w:b/>
          <w:sz w:val="32"/>
          <w:szCs w:val="32"/>
        </w:rPr>
        <w:t>（三）国有资产占有使用情况</w:t>
      </w:r>
      <w:bookmarkEnd w:id="46"/>
    </w:p>
    <w:p w14:paraId="7B76F1E0">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val="en-US" w:eastAsia="zh-CN"/>
        </w:rPr>
        <w:t>攀枝花市第三人民医院</w:t>
      </w:r>
      <w:r>
        <w:rPr>
          <w:rFonts w:hint="eastAsia" w:eastAsia="仿宋_GB2312" w:cs="仿宋_GB2312"/>
          <w:sz w:val="32"/>
          <w:szCs w:val="32"/>
        </w:rPr>
        <w:t>共有车辆</w:t>
      </w:r>
      <w:r>
        <w:rPr>
          <w:rFonts w:hint="eastAsia" w:eastAsia="仿宋_GB2312" w:cs="仿宋_GB2312"/>
          <w:sz w:val="32"/>
          <w:szCs w:val="32"/>
          <w:lang w:val="en-US" w:eastAsia="zh-CN"/>
        </w:rPr>
        <w:t>7</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7</w:t>
      </w:r>
      <w:r>
        <w:rPr>
          <w:rFonts w:hint="eastAsia" w:eastAsia="仿宋_GB2312" w:cs="仿宋_GB2312"/>
          <w:sz w:val="32"/>
          <w:szCs w:val="32"/>
        </w:rPr>
        <w:t>辆，其他用车主要是用于</w:t>
      </w:r>
      <w:r>
        <w:rPr>
          <w:rFonts w:hint="eastAsia" w:ascii="仿宋_GB2312" w:eastAsia="仿宋_GB2312"/>
          <w:color w:val="auto"/>
          <w:sz w:val="32"/>
          <w:szCs w:val="32"/>
          <w:highlight w:val="none"/>
          <w:lang w:val="en-US" w:eastAsia="zh-CN"/>
        </w:rPr>
        <w:t>医疗卫生相关服务</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9</w:t>
      </w:r>
      <w:r>
        <w:rPr>
          <w:rFonts w:hint="eastAsia" w:eastAsia="仿宋_GB2312" w:cs="仿宋_GB2312"/>
          <w:sz w:val="32"/>
          <w:szCs w:val="32"/>
        </w:rPr>
        <w:t>台（套）。</w:t>
      </w:r>
    </w:p>
    <w:p w14:paraId="07B5029F">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5E9A169">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val="en-US" w:eastAsia="zh-CN"/>
        </w:rPr>
        <w:t>攀枝花市第三人民医院</w:t>
      </w:r>
      <w:r>
        <w:rPr>
          <w:rFonts w:hint="eastAsia" w:eastAsia="仿宋_GB2312" w:cs="仿宋_GB2312"/>
          <w:sz w:val="32"/>
          <w:szCs w:val="32"/>
        </w:rPr>
        <w:t>在2025年度，组织对</w:t>
      </w:r>
      <w:r>
        <w:rPr>
          <w:rFonts w:hint="eastAsia" w:eastAsia="仿宋_GB2312" w:cs="仿宋_GB2312"/>
          <w:sz w:val="32"/>
          <w:szCs w:val="32"/>
          <w:lang w:val="en-US" w:eastAsia="zh-CN"/>
        </w:rPr>
        <w:t>精神卫生（专项）</w:t>
      </w:r>
      <w:r>
        <w:rPr>
          <w:rFonts w:hint="eastAsia" w:eastAsia="仿宋_GB2312" w:cs="仿宋_GB2312"/>
          <w:sz w:val="32"/>
          <w:szCs w:val="32"/>
        </w:rPr>
        <w:t>等</w:t>
      </w:r>
      <w:r>
        <w:rPr>
          <w:rFonts w:hint="eastAsia" w:eastAsia="仿宋_GB2312" w:cs="仿宋_GB2312"/>
          <w:sz w:val="32"/>
          <w:szCs w:val="32"/>
          <w:lang w:val="en-US" w:eastAsia="zh-CN"/>
        </w:rPr>
        <w:t>2</w:t>
      </w:r>
      <w:r>
        <w:rPr>
          <w:rFonts w:hint="eastAsia" w:eastAsia="仿宋_GB2312" w:cs="仿宋_GB2312"/>
          <w:sz w:val="32"/>
          <w:szCs w:val="32"/>
        </w:rPr>
        <w:t>个项目涉及金额</w:t>
      </w:r>
      <w:r>
        <w:rPr>
          <w:rFonts w:hint="eastAsia" w:eastAsia="仿宋_GB2312" w:cs="仿宋_GB2312"/>
          <w:sz w:val="32"/>
          <w:szCs w:val="32"/>
          <w:lang w:val="en-US" w:eastAsia="zh-CN"/>
        </w:rPr>
        <w:t>224.5</w:t>
      </w:r>
      <w:r>
        <w:rPr>
          <w:rFonts w:hint="eastAsia" w:eastAsia="仿宋_GB2312" w:cs="仿宋_GB2312"/>
          <w:sz w:val="32"/>
          <w:szCs w:val="32"/>
        </w:rPr>
        <w:t>万元开展了事前绩效评估，对</w:t>
      </w:r>
      <w:r>
        <w:rPr>
          <w:rFonts w:hint="eastAsia" w:eastAsia="仿宋_GB2312" w:cs="仿宋_GB2312"/>
          <w:sz w:val="32"/>
          <w:szCs w:val="32"/>
          <w:lang w:val="en-US" w:eastAsia="zh-CN"/>
        </w:rPr>
        <w:t>11</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11</w:t>
      </w:r>
      <w:r>
        <w:rPr>
          <w:rFonts w:hint="eastAsia" w:eastAsia="仿宋_GB2312" w:cs="仿宋_GB2312"/>
          <w:sz w:val="32"/>
          <w:szCs w:val="32"/>
        </w:rPr>
        <w:t>个项目开展绩效监控。</w:t>
      </w:r>
    </w:p>
    <w:p w14:paraId="638510D7">
      <w:pPr>
        <w:spacing w:line="600" w:lineRule="exact"/>
        <w:jc w:val="center"/>
        <w:outlineLvl w:val="0"/>
        <w:rPr>
          <w:rFonts w:eastAsia="黑体"/>
          <w:sz w:val="44"/>
          <w:szCs w:val="44"/>
        </w:rPr>
      </w:pPr>
      <w:bookmarkStart w:id="47" w:name="_Toc15377225"/>
      <w:bookmarkStart w:id="48" w:name="_Toc15396613"/>
      <w:r>
        <w:rPr>
          <w:rFonts w:hint="eastAsia" w:eastAsia="黑体"/>
          <w:sz w:val="44"/>
          <w:szCs w:val="44"/>
        </w:rPr>
        <w:t>第三部分  名词解释</w:t>
      </w:r>
      <w:bookmarkEnd w:id="47"/>
      <w:bookmarkEnd w:id="48"/>
    </w:p>
    <w:p w14:paraId="2D37E3D1">
      <w:pPr>
        <w:spacing w:line="600" w:lineRule="exact"/>
        <w:jc w:val="left"/>
        <w:rPr>
          <w:b/>
          <w:sz w:val="44"/>
          <w:szCs w:val="44"/>
        </w:rPr>
      </w:pPr>
    </w:p>
    <w:p w14:paraId="07C8602A">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20AAF7C3">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2.事业收入：指事业单位开展专业业务活动及辅助活动取得的收入。如……（二级预算单位事业收入情况）等。</w:t>
      </w:r>
    </w:p>
    <w:p w14:paraId="26CC1E8A">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3.经营收入：指事业单位在专业业务活动及其辅助活动之外开展非独立核算经营活动取得的收入。如……（二级预算单位经营收入情况）等。</w:t>
      </w:r>
    </w:p>
    <w:p w14:paraId="60903C5B">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4.其他收入：指单位取得的除上述收入以外的各项收入。主要是……（收入类型）等。 </w:t>
      </w:r>
    </w:p>
    <w:p w14:paraId="77EEF1FA">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6B898F5B">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430507C4">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60E0C434">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10379088">
      <w:pPr>
        <w:spacing w:line="600" w:lineRule="exact"/>
        <w:ind w:firstLine="640"/>
        <w:rPr>
          <w:rFonts w:eastAsia="仿宋_GB2312" w:cs="仿宋_GB2312"/>
          <w:sz w:val="32"/>
          <w:szCs w:val="32"/>
        </w:rPr>
      </w:pPr>
      <w:r>
        <w:rPr>
          <w:rFonts w:hint="eastAsia" w:eastAsia="仿宋_GB2312" w:cs="仿宋_GB2312"/>
          <w:sz w:val="32"/>
          <w:szCs w:val="32"/>
        </w:rPr>
        <w:t>9.一般公共服务（类）……（款）……（项）：指……</w:t>
      </w:r>
    </w:p>
    <w:p w14:paraId="0CE7A63F">
      <w:pPr>
        <w:spacing w:line="600" w:lineRule="exact"/>
        <w:ind w:firstLine="640"/>
        <w:rPr>
          <w:rFonts w:eastAsia="仿宋_GB2312" w:cs="仿宋_GB2312"/>
          <w:sz w:val="32"/>
          <w:szCs w:val="32"/>
        </w:rPr>
      </w:pPr>
      <w:r>
        <w:rPr>
          <w:rFonts w:hint="eastAsia" w:eastAsia="仿宋_GB2312" w:cs="仿宋_GB2312"/>
          <w:sz w:val="32"/>
          <w:szCs w:val="32"/>
        </w:rPr>
        <w:t>10.外交（类）……（款）……（项）：指……</w:t>
      </w:r>
    </w:p>
    <w:p w14:paraId="68EEDD33">
      <w:pPr>
        <w:spacing w:line="600" w:lineRule="exact"/>
        <w:ind w:firstLine="640"/>
        <w:rPr>
          <w:rFonts w:eastAsia="仿宋_GB2312" w:cs="仿宋_GB2312"/>
          <w:sz w:val="32"/>
          <w:szCs w:val="32"/>
        </w:rPr>
      </w:pPr>
      <w:r>
        <w:rPr>
          <w:rFonts w:hint="eastAsia" w:eastAsia="仿宋_GB2312" w:cs="仿宋_GB2312"/>
          <w:sz w:val="32"/>
          <w:szCs w:val="32"/>
        </w:rPr>
        <w:t>11.公共安全（类）……（款）……（项）：指……</w:t>
      </w:r>
    </w:p>
    <w:p w14:paraId="3E0CAB91">
      <w:pPr>
        <w:spacing w:line="600" w:lineRule="exact"/>
        <w:ind w:firstLine="640"/>
        <w:rPr>
          <w:rFonts w:eastAsia="仿宋_GB2312" w:cs="仿宋_GB2312"/>
          <w:sz w:val="32"/>
          <w:szCs w:val="32"/>
        </w:rPr>
      </w:pPr>
      <w:r>
        <w:rPr>
          <w:rFonts w:hint="eastAsia" w:eastAsia="仿宋_GB2312" w:cs="仿宋_GB2312"/>
          <w:sz w:val="32"/>
          <w:szCs w:val="32"/>
        </w:rPr>
        <w:t>12.教育（类）……（款）……（项）：指……</w:t>
      </w:r>
    </w:p>
    <w:p w14:paraId="4FE6A3B7">
      <w:pPr>
        <w:spacing w:line="600" w:lineRule="exact"/>
        <w:ind w:firstLine="640"/>
        <w:rPr>
          <w:rFonts w:eastAsia="仿宋_GB2312" w:cs="仿宋_GB2312"/>
          <w:sz w:val="32"/>
          <w:szCs w:val="32"/>
        </w:rPr>
      </w:pPr>
      <w:r>
        <w:rPr>
          <w:rFonts w:hint="eastAsia" w:eastAsia="仿宋_GB2312" w:cs="仿宋_GB2312"/>
          <w:sz w:val="32"/>
          <w:szCs w:val="32"/>
        </w:rPr>
        <w:t>13.科学技术（类）……（款）……（项）：指……</w:t>
      </w:r>
    </w:p>
    <w:p w14:paraId="6445A0AE">
      <w:pPr>
        <w:spacing w:line="600" w:lineRule="exact"/>
        <w:ind w:firstLine="640"/>
        <w:rPr>
          <w:rFonts w:eastAsia="仿宋_GB2312" w:cs="仿宋_GB2312"/>
          <w:sz w:val="32"/>
          <w:szCs w:val="32"/>
        </w:rPr>
      </w:pPr>
      <w:r>
        <w:rPr>
          <w:rFonts w:hint="eastAsia" w:eastAsia="仿宋_GB2312" w:cs="仿宋_GB2312"/>
          <w:sz w:val="32"/>
          <w:szCs w:val="32"/>
        </w:rPr>
        <w:t>14.文化旅游体育与传媒（类）……（款）……（项）：指……</w:t>
      </w:r>
    </w:p>
    <w:p w14:paraId="470BB279">
      <w:pPr>
        <w:spacing w:line="600" w:lineRule="exact"/>
        <w:ind w:firstLine="640"/>
        <w:rPr>
          <w:rFonts w:eastAsia="仿宋_GB2312" w:cs="仿宋_GB2312"/>
          <w:sz w:val="32"/>
          <w:szCs w:val="32"/>
        </w:rPr>
      </w:pPr>
      <w:r>
        <w:rPr>
          <w:rFonts w:hint="eastAsia" w:eastAsia="仿宋_GB2312" w:cs="仿宋_GB2312"/>
          <w:sz w:val="32"/>
          <w:szCs w:val="32"/>
        </w:rPr>
        <w:t>15.社会保障和就业（类）……（款）……（项）：指……</w:t>
      </w:r>
    </w:p>
    <w:p w14:paraId="53195F09">
      <w:pPr>
        <w:spacing w:line="600" w:lineRule="exact"/>
        <w:ind w:firstLine="640"/>
        <w:rPr>
          <w:rFonts w:eastAsia="仿宋_GB2312" w:cs="仿宋_GB2312"/>
          <w:sz w:val="32"/>
          <w:szCs w:val="32"/>
        </w:rPr>
      </w:pPr>
      <w:r>
        <w:rPr>
          <w:rFonts w:hint="eastAsia" w:eastAsia="仿宋_GB2312" w:cs="仿宋_GB2312"/>
          <w:sz w:val="32"/>
          <w:szCs w:val="32"/>
        </w:rPr>
        <w:t>16.卫生健康（类）……（款）……（项）：指……</w:t>
      </w:r>
    </w:p>
    <w:p w14:paraId="528ADC3A">
      <w:pPr>
        <w:spacing w:line="600" w:lineRule="exact"/>
        <w:ind w:firstLine="640"/>
        <w:rPr>
          <w:rFonts w:eastAsia="仿宋_GB2312" w:cs="仿宋_GB2312"/>
          <w:sz w:val="32"/>
          <w:szCs w:val="32"/>
        </w:rPr>
      </w:pPr>
      <w:r>
        <w:rPr>
          <w:rFonts w:hint="eastAsia" w:eastAsia="仿宋_GB2312" w:cs="仿宋_GB2312"/>
          <w:sz w:val="32"/>
          <w:szCs w:val="32"/>
        </w:rPr>
        <w:t>17.节能环保（类）……（款）……（项）：指……</w:t>
      </w:r>
    </w:p>
    <w:p w14:paraId="4A0A04FA">
      <w:pPr>
        <w:spacing w:line="600" w:lineRule="exact"/>
        <w:ind w:firstLine="640"/>
        <w:rPr>
          <w:rFonts w:eastAsia="仿宋_GB2312" w:cs="仿宋_GB2312"/>
          <w:sz w:val="32"/>
          <w:szCs w:val="32"/>
        </w:rPr>
      </w:pPr>
      <w:r>
        <w:rPr>
          <w:rFonts w:hint="eastAsia" w:eastAsia="仿宋_GB2312" w:cs="仿宋_GB2312"/>
          <w:sz w:val="32"/>
          <w:szCs w:val="32"/>
        </w:rPr>
        <w:t>18.城乡社区（类）……（款）……（项）：指……</w:t>
      </w:r>
    </w:p>
    <w:p w14:paraId="30E406F7">
      <w:pPr>
        <w:spacing w:line="600" w:lineRule="exact"/>
        <w:ind w:firstLine="640"/>
        <w:rPr>
          <w:rFonts w:eastAsia="仿宋_GB2312" w:cs="仿宋_GB2312"/>
          <w:sz w:val="32"/>
          <w:szCs w:val="32"/>
        </w:rPr>
      </w:pPr>
      <w:r>
        <w:rPr>
          <w:rFonts w:hint="eastAsia" w:eastAsia="仿宋_GB2312" w:cs="仿宋_GB2312"/>
          <w:sz w:val="32"/>
          <w:szCs w:val="32"/>
        </w:rPr>
        <w:t>19.农林水（类）……（款）……（项）：指……</w:t>
      </w:r>
    </w:p>
    <w:p w14:paraId="113E6366">
      <w:pPr>
        <w:spacing w:line="600" w:lineRule="exact"/>
        <w:ind w:firstLine="640"/>
        <w:rPr>
          <w:rFonts w:eastAsia="仿宋_GB2312" w:cs="仿宋_GB2312"/>
          <w:sz w:val="32"/>
          <w:szCs w:val="32"/>
        </w:rPr>
      </w:pPr>
      <w:r>
        <w:rPr>
          <w:rFonts w:hint="eastAsia" w:eastAsia="仿宋_GB2312" w:cs="仿宋_GB2312"/>
          <w:sz w:val="32"/>
          <w:szCs w:val="32"/>
        </w:rPr>
        <w:t>20.交通运输（类）……（款）……（项）：指……</w:t>
      </w:r>
    </w:p>
    <w:p w14:paraId="0906DA35">
      <w:pPr>
        <w:spacing w:line="600" w:lineRule="exact"/>
        <w:ind w:firstLine="640"/>
        <w:rPr>
          <w:rFonts w:eastAsia="仿宋_GB2312" w:cs="仿宋_GB2312"/>
          <w:sz w:val="32"/>
          <w:szCs w:val="32"/>
        </w:rPr>
      </w:pPr>
      <w:r>
        <w:rPr>
          <w:rFonts w:hint="eastAsia" w:eastAsia="仿宋_GB2312" w:cs="仿宋_GB2312"/>
          <w:sz w:val="32"/>
          <w:szCs w:val="32"/>
        </w:rPr>
        <w:t>21.资源勘探工业信息等（类）……（款）……（项）：指……</w:t>
      </w:r>
    </w:p>
    <w:p w14:paraId="67CEB4C1">
      <w:pPr>
        <w:spacing w:line="600" w:lineRule="exact"/>
        <w:ind w:firstLine="640"/>
        <w:rPr>
          <w:rFonts w:eastAsia="仿宋_GB2312" w:cs="仿宋_GB2312"/>
          <w:sz w:val="32"/>
          <w:szCs w:val="32"/>
        </w:rPr>
      </w:pPr>
      <w:r>
        <w:rPr>
          <w:rFonts w:hint="eastAsia" w:eastAsia="仿宋_GB2312" w:cs="仿宋_GB2312"/>
          <w:sz w:val="32"/>
          <w:szCs w:val="32"/>
        </w:rPr>
        <w:t>22.商业服务业（类）……（款）……（项）：指……</w:t>
      </w:r>
    </w:p>
    <w:p w14:paraId="44BD793E">
      <w:pPr>
        <w:spacing w:line="600" w:lineRule="exact"/>
        <w:ind w:firstLine="640"/>
        <w:rPr>
          <w:rFonts w:eastAsia="仿宋_GB2312" w:cs="仿宋_GB2312"/>
          <w:sz w:val="32"/>
          <w:szCs w:val="32"/>
        </w:rPr>
      </w:pPr>
      <w:r>
        <w:rPr>
          <w:rFonts w:hint="eastAsia" w:eastAsia="仿宋_GB2312" w:cs="仿宋_GB2312"/>
          <w:sz w:val="32"/>
          <w:szCs w:val="32"/>
        </w:rPr>
        <w:t>23.金融（类）……（款）……（项）：指……</w:t>
      </w:r>
    </w:p>
    <w:p w14:paraId="7D275178">
      <w:pPr>
        <w:spacing w:line="600" w:lineRule="exact"/>
        <w:ind w:firstLine="640"/>
        <w:rPr>
          <w:rFonts w:eastAsia="仿宋_GB2312" w:cs="仿宋_GB2312"/>
          <w:sz w:val="32"/>
          <w:szCs w:val="32"/>
        </w:rPr>
      </w:pPr>
      <w:r>
        <w:rPr>
          <w:rFonts w:hint="eastAsia" w:eastAsia="仿宋_GB2312" w:cs="仿宋_GB2312"/>
          <w:sz w:val="32"/>
          <w:szCs w:val="32"/>
        </w:rPr>
        <w:t>24.自然资源海洋气象等（类）……（款）……（项）：指……</w:t>
      </w:r>
    </w:p>
    <w:p w14:paraId="77E558EB">
      <w:pPr>
        <w:spacing w:line="600" w:lineRule="exact"/>
        <w:ind w:firstLine="640"/>
        <w:rPr>
          <w:rFonts w:eastAsia="仿宋_GB2312" w:cs="仿宋_GB2312"/>
          <w:sz w:val="32"/>
          <w:szCs w:val="32"/>
        </w:rPr>
      </w:pPr>
      <w:r>
        <w:rPr>
          <w:rFonts w:hint="eastAsia" w:eastAsia="仿宋_GB2312" w:cs="仿宋_GB2312"/>
          <w:sz w:val="32"/>
          <w:szCs w:val="32"/>
        </w:rPr>
        <w:t>25.住房保障（类）……（款）……（项）：指……</w:t>
      </w:r>
    </w:p>
    <w:p w14:paraId="5ED81DD5">
      <w:pPr>
        <w:spacing w:line="600" w:lineRule="exact"/>
        <w:ind w:firstLine="640"/>
        <w:rPr>
          <w:rFonts w:eastAsia="仿宋_GB2312" w:cs="仿宋_GB2312"/>
          <w:sz w:val="32"/>
          <w:szCs w:val="32"/>
        </w:rPr>
      </w:pPr>
      <w:r>
        <w:rPr>
          <w:rFonts w:hint="eastAsia" w:eastAsia="仿宋_GB2312" w:cs="仿宋_GB2312"/>
          <w:sz w:val="32"/>
          <w:szCs w:val="32"/>
        </w:rPr>
        <w:t>26.粮油物资储备（类）……（款）……（项）：指……</w:t>
      </w:r>
    </w:p>
    <w:p w14:paraId="4D3AC88B">
      <w:pPr>
        <w:spacing w:line="600" w:lineRule="exact"/>
        <w:ind w:firstLine="640"/>
        <w:rPr>
          <w:rFonts w:eastAsia="仿宋_GB2312" w:cs="仿宋_GB2312"/>
          <w:sz w:val="32"/>
          <w:szCs w:val="32"/>
        </w:rPr>
      </w:pPr>
      <w:r>
        <w:rPr>
          <w:rFonts w:hint="eastAsia" w:eastAsia="仿宋_GB2312" w:cs="仿宋_GB2312"/>
          <w:sz w:val="32"/>
          <w:szCs w:val="32"/>
        </w:rPr>
        <w:t>……</w:t>
      </w:r>
    </w:p>
    <w:p w14:paraId="24DCBB85">
      <w:pPr>
        <w:spacing w:line="600" w:lineRule="exact"/>
        <w:ind w:firstLine="640"/>
        <w:rPr>
          <w:rFonts w:eastAsia="仿宋_GB2312" w:cs="仿宋_GB2312"/>
          <w:sz w:val="32"/>
          <w:szCs w:val="32"/>
        </w:rPr>
      </w:pPr>
      <w:r>
        <w:rPr>
          <w:rFonts w:hint="eastAsia" w:eastAsia="仿宋_GB2312" w:cs="仿宋_GB2312"/>
          <w:b/>
          <w:bCs/>
          <w:sz w:val="32"/>
          <w:szCs w:val="32"/>
        </w:rPr>
        <w:t>（注：解释本部门决算报表中涉及的全部功能分类科目至项级，不涉及的科目请自行删除。请参照《2025年政府收支分类科目》增减内容）</w:t>
      </w:r>
    </w:p>
    <w:p w14:paraId="5E78D6F5">
      <w:pPr>
        <w:spacing w:line="600" w:lineRule="exact"/>
        <w:ind w:firstLine="640"/>
        <w:rPr>
          <w:rFonts w:eastAsia="仿宋_GB2312" w:cs="仿宋_GB2312"/>
          <w:sz w:val="32"/>
          <w:szCs w:val="32"/>
        </w:rPr>
      </w:pPr>
      <w:r>
        <w:rPr>
          <w:rFonts w:hint="eastAsia" w:eastAsia="仿宋_GB2312" w:cs="仿宋_GB2312"/>
          <w:sz w:val="32"/>
          <w:szCs w:val="32"/>
        </w:rPr>
        <w:t>27.基本支出：指为保障机构正常运转、完成日常工作任务而发生的人员支出和公用支出。</w:t>
      </w:r>
    </w:p>
    <w:p w14:paraId="165F5399">
      <w:pPr>
        <w:spacing w:line="600" w:lineRule="exact"/>
        <w:ind w:firstLine="640"/>
        <w:rPr>
          <w:rFonts w:eastAsia="仿宋_GB2312" w:cs="仿宋_GB2312"/>
          <w:sz w:val="32"/>
          <w:szCs w:val="32"/>
        </w:rPr>
      </w:pPr>
      <w:r>
        <w:rPr>
          <w:rFonts w:hint="eastAsia" w:eastAsia="仿宋_GB2312" w:cs="仿宋_GB2312"/>
          <w:sz w:val="32"/>
          <w:szCs w:val="32"/>
        </w:rPr>
        <w:t xml:space="preserve">28.项目支出：指在基本支出之外为完成特定行政任务和事业发展目标所发生的支出。 </w:t>
      </w:r>
    </w:p>
    <w:p w14:paraId="1511BF16">
      <w:pPr>
        <w:spacing w:line="600" w:lineRule="exact"/>
        <w:ind w:firstLine="640"/>
        <w:rPr>
          <w:rFonts w:eastAsia="仿宋_GB2312" w:cs="仿宋_GB2312"/>
          <w:sz w:val="32"/>
          <w:szCs w:val="32"/>
        </w:rPr>
      </w:pPr>
      <w:r>
        <w:rPr>
          <w:rFonts w:hint="eastAsia" w:eastAsia="仿宋_GB2312" w:cs="仿宋_GB2312"/>
          <w:sz w:val="32"/>
          <w:szCs w:val="32"/>
        </w:rPr>
        <w:t>29.经营支出：指事业单位在专业业务活动及其辅助活动之外开展非独立核算经营活动发生的支出。</w:t>
      </w:r>
    </w:p>
    <w:p w14:paraId="2E68D045">
      <w:pPr>
        <w:spacing w:line="600" w:lineRule="exact"/>
        <w:ind w:firstLine="640"/>
        <w:rPr>
          <w:rFonts w:eastAsia="仿宋_GB2312" w:cs="仿宋_GB2312"/>
          <w:sz w:val="32"/>
          <w:szCs w:val="32"/>
        </w:rPr>
      </w:pPr>
      <w:r>
        <w:rPr>
          <w:rFonts w:hint="eastAsia" w:eastAsia="仿宋_GB2312" w:cs="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089A272">
      <w:pPr>
        <w:spacing w:line="600" w:lineRule="exact"/>
        <w:ind w:firstLine="640"/>
        <w:rPr>
          <w:rFonts w:eastAsia="仿宋_GB2312" w:cs="仿宋_GB2312"/>
          <w:sz w:val="32"/>
          <w:szCs w:val="32"/>
        </w:rPr>
      </w:pPr>
      <w:r>
        <w:rPr>
          <w:rFonts w:hint="eastAsia" w:eastAsia="仿宋_GB2312" w:cs="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EAC3086">
      <w:pPr>
        <w:spacing w:line="600" w:lineRule="exact"/>
        <w:ind w:firstLine="640"/>
        <w:rPr>
          <w:rFonts w:eastAsia="仿宋_GB2312" w:cs="仿宋_GB2312"/>
          <w:sz w:val="32"/>
          <w:szCs w:val="32"/>
        </w:rPr>
      </w:pPr>
      <w:r>
        <w:rPr>
          <w:rFonts w:hint="eastAsia" w:eastAsia="仿宋_GB2312" w:cs="仿宋_GB2312"/>
          <w:sz w:val="32"/>
          <w:szCs w:val="32"/>
        </w:rPr>
        <w:t>32.……</w:t>
      </w:r>
    </w:p>
    <w:p w14:paraId="08C75442">
      <w:pPr>
        <w:spacing w:line="600" w:lineRule="exact"/>
        <w:ind w:firstLine="640"/>
        <w:rPr>
          <w:rFonts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14:paraId="7EDD2B02">
      <w:pPr>
        <w:spacing w:line="600" w:lineRule="exact"/>
        <w:jc w:val="center"/>
        <w:rPr>
          <w:rStyle w:val="28"/>
          <w:rFonts w:eastAsia="黑体"/>
          <w:b w:val="0"/>
        </w:rPr>
      </w:pPr>
      <w:bookmarkStart w:id="49" w:name="_Toc15377226"/>
      <w:r>
        <w:rPr>
          <w:rFonts w:hint="eastAsia" w:eastAsia="仿宋_GB2312" w:cs="仿宋_GB2312"/>
          <w:sz w:val="32"/>
          <w:szCs w:val="32"/>
        </w:rPr>
        <w:br w:type="page"/>
      </w:r>
      <w:bookmarkStart w:id="50" w:name="_Toc15396614"/>
      <w:r>
        <w:rPr>
          <w:rFonts w:hint="eastAsia" w:eastAsia="黑体"/>
          <w:sz w:val="44"/>
          <w:szCs w:val="44"/>
        </w:rPr>
        <w:t>第四部分  附件</w:t>
      </w:r>
      <w:bookmarkEnd w:id="50"/>
    </w:p>
    <w:p w14:paraId="3E19AF8A">
      <w:pPr>
        <w:pStyle w:val="14"/>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附表：</w:t>
      </w:r>
      <w:r>
        <w:rPr>
          <w:rFonts w:hint="eastAsia" w:eastAsia="仿宋_GB2312" w:cs="仿宋_GB2312"/>
          <w:color w:val="auto"/>
          <w:sz w:val="32"/>
          <w:szCs w:val="32"/>
          <w:highlight w:val="none"/>
          <w:lang w:val="en-US" w:eastAsia="zh-CN"/>
        </w:rPr>
        <w:t>部门预算项目支出绩效自评表（2025年度）见附件3</w:t>
      </w:r>
    </w:p>
    <w:p w14:paraId="484C449E">
      <w:pPr>
        <w:pStyle w:val="2"/>
      </w:pPr>
    </w:p>
    <w:p w14:paraId="4AA0D6C7">
      <w:pPr>
        <w:widowControl/>
        <w:jc w:val="center"/>
        <w:rPr>
          <w:rFonts w:eastAsia="仿宋"/>
        </w:rPr>
      </w:pPr>
      <w:bookmarkStart w:id="51" w:name="_Toc15396618"/>
      <w:r>
        <w:rPr>
          <w:rFonts w:hint="eastAsia" w:eastAsia="黑体"/>
          <w:sz w:val="44"/>
          <w:szCs w:val="44"/>
        </w:rPr>
        <w:t>第</w:t>
      </w:r>
      <w:r>
        <w:rPr>
          <w:rStyle w:val="28"/>
          <w:rFonts w:hint="eastAsia" w:eastAsia="黑体"/>
          <w:b w:val="0"/>
        </w:rPr>
        <w:t>五部分 附表</w:t>
      </w:r>
      <w:bookmarkEnd w:id="49"/>
      <w:bookmarkEnd w:id="51"/>
      <w:bookmarkStart w:id="52" w:name="_Toc15396619"/>
    </w:p>
    <w:p w14:paraId="574FB589">
      <w:pPr>
        <w:pStyle w:val="14"/>
        <w:adjustRightInd w:val="0"/>
        <w:snapToGrid w:val="0"/>
        <w:spacing w:line="560" w:lineRule="exact"/>
        <w:jc w:val="left"/>
        <w:rPr>
          <w:rFonts w:eastAsia="仿宋_GB2312" w:cs="仿宋_GB2312"/>
          <w:sz w:val="32"/>
          <w:szCs w:val="32"/>
        </w:rPr>
      </w:pPr>
    </w:p>
    <w:p w14:paraId="7BBC6BDD">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2"/>
    </w:p>
    <w:p w14:paraId="2E7D0D08">
      <w:pPr>
        <w:pStyle w:val="14"/>
        <w:adjustRightInd w:val="0"/>
        <w:snapToGrid w:val="0"/>
        <w:spacing w:line="560" w:lineRule="exact"/>
        <w:jc w:val="left"/>
        <w:rPr>
          <w:rFonts w:eastAsia="仿宋_GB2312" w:cs="仿宋_GB2312"/>
          <w:sz w:val="32"/>
          <w:szCs w:val="32"/>
        </w:rPr>
      </w:pPr>
      <w:bookmarkStart w:id="53" w:name="_Toc15396620"/>
      <w:r>
        <w:rPr>
          <w:rFonts w:hint="eastAsia" w:eastAsia="仿宋_GB2312" w:cs="仿宋_GB2312"/>
          <w:sz w:val="32"/>
          <w:szCs w:val="32"/>
        </w:rPr>
        <w:t>二、收入决算表</w:t>
      </w:r>
      <w:bookmarkEnd w:id="53"/>
    </w:p>
    <w:p w14:paraId="07F5520C">
      <w:pPr>
        <w:pStyle w:val="14"/>
        <w:adjustRightInd w:val="0"/>
        <w:snapToGrid w:val="0"/>
        <w:spacing w:line="560" w:lineRule="exact"/>
        <w:jc w:val="left"/>
        <w:rPr>
          <w:rFonts w:eastAsia="仿宋_GB2312" w:cs="仿宋_GB2312"/>
          <w:sz w:val="32"/>
          <w:szCs w:val="32"/>
        </w:rPr>
      </w:pPr>
      <w:bookmarkStart w:id="54" w:name="_Toc15396621"/>
      <w:r>
        <w:rPr>
          <w:rFonts w:hint="eastAsia" w:eastAsia="仿宋_GB2312" w:cs="仿宋_GB2312"/>
          <w:sz w:val="32"/>
          <w:szCs w:val="32"/>
        </w:rPr>
        <w:t>三、支出决算表</w:t>
      </w:r>
      <w:bookmarkEnd w:id="54"/>
    </w:p>
    <w:p w14:paraId="767643A4">
      <w:pPr>
        <w:pStyle w:val="14"/>
        <w:adjustRightInd w:val="0"/>
        <w:snapToGrid w:val="0"/>
        <w:spacing w:line="560" w:lineRule="exact"/>
        <w:jc w:val="left"/>
        <w:rPr>
          <w:rFonts w:eastAsia="仿宋_GB2312" w:cs="仿宋_GB2312"/>
          <w:sz w:val="32"/>
          <w:szCs w:val="32"/>
        </w:rPr>
      </w:pPr>
      <w:bookmarkStart w:id="55" w:name="_Toc15396622"/>
      <w:r>
        <w:rPr>
          <w:rFonts w:hint="eastAsia" w:eastAsia="仿宋_GB2312" w:cs="仿宋_GB2312"/>
          <w:sz w:val="32"/>
          <w:szCs w:val="32"/>
        </w:rPr>
        <w:t>四、财政拨款收入支出决算总表</w:t>
      </w:r>
      <w:bookmarkEnd w:id="55"/>
    </w:p>
    <w:p w14:paraId="380BA7C6">
      <w:pPr>
        <w:pStyle w:val="14"/>
        <w:adjustRightInd w:val="0"/>
        <w:snapToGrid w:val="0"/>
        <w:spacing w:line="560" w:lineRule="exact"/>
        <w:jc w:val="left"/>
        <w:rPr>
          <w:rFonts w:eastAsia="仿宋_GB2312" w:cs="仿宋_GB2312"/>
          <w:sz w:val="32"/>
          <w:szCs w:val="32"/>
        </w:rPr>
      </w:pPr>
      <w:bookmarkStart w:id="56" w:name="_Toc15396623"/>
      <w:r>
        <w:rPr>
          <w:rFonts w:hint="eastAsia" w:eastAsia="仿宋_GB2312" w:cs="仿宋_GB2312"/>
          <w:sz w:val="32"/>
          <w:szCs w:val="32"/>
        </w:rPr>
        <w:t>五、财政拨款支出决算明细表</w:t>
      </w:r>
      <w:bookmarkEnd w:id="56"/>
      <w:bookmarkStart w:id="57" w:name="_Toc15396624"/>
    </w:p>
    <w:p w14:paraId="276B3220">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7"/>
    </w:p>
    <w:p w14:paraId="1EF81A9C">
      <w:pPr>
        <w:pStyle w:val="14"/>
        <w:adjustRightInd w:val="0"/>
        <w:snapToGrid w:val="0"/>
        <w:spacing w:line="560" w:lineRule="exact"/>
        <w:jc w:val="left"/>
        <w:rPr>
          <w:rFonts w:eastAsia="仿宋_GB2312" w:cs="仿宋_GB2312"/>
          <w:sz w:val="32"/>
          <w:szCs w:val="32"/>
        </w:rPr>
      </w:pPr>
      <w:bookmarkStart w:id="58" w:name="_Toc15396625"/>
      <w:r>
        <w:rPr>
          <w:rFonts w:hint="eastAsia" w:eastAsia="仿宋_GB2312" w:cs="仿宋_GB2312"/>
          <w:sz w:val="32"/>
          <w:szCs w:val="32"/>
        </w:rPr>
        <w:t>七、一般公共预算财政拨款支出决算明细表</w:t>
      </w:r>
      <w:bookmarkEnd w:id="58"/>
    </w:p>
    <w:p w14:paraId="36D75F88">
      <w:pPr>
        <w:pStyle w:val="14"/>
        <w:adjustRightInd w:val="0"/>
        <w:snapToGrid w:val="0"/>
        <w:spacing w:line="560" w:lineRule="exact"/>
        <w:jc w:val="left"/>
        <w:rPr>
          <w:rFonts w:eastAsia="仿宋_GB2312" w:cs="仿宋_GB2312"/>
          <w:sz w:val="32"/>
          <w:szCs w:val="32"/>
        </w:rPr>
      </w:pPr>
      <w:bookmarkStart w:id="59" w:name="_Toc15396626"/>
      <w:r>
        <w:rPr>
          <w:rFonts w:hint="eastAsia" w:eastAsia="仿宋_GB2312" w:cs="仿宋_GB2312"/>
          <w:sz w:val="32"/>
          <w:szCs w:val="32"/>
        </w:rPr>
        <w:t>八、一般公共预算财政拨款基本支出决算表</w:t>
      </w:r>
      <w:bookmarkEnd w:id="59"/>
    </w:p>
    <w:p w14:paraId="0F4EF695">
      <w:pPr>
        <w:pStyle w:val="14"/>
        <w:adjustRightInd w:val="0"/>
        <w:snapToGrid w:val="0"/>
        <w:spacing w:line="560" w:lineRule="exact"/>
        <w:jc w:val="left"/>
        <w:rPr>
          <w:rFonts w:eastAsia="仿宋_GB2312" w:cs="仿宋_GB2312"/>
          <w:sz w:val="32"/>
          <w:szCs w:val="32"/>
        </w:rPr>
      </w:pPr>
      <w:bookmarkStart w:id="60" w:name="_Toc15396627"/>
      <w:r>
        <w:rPr>
          <w:rFonts w:hint="eastAsia" w:eastAsia="仿宋_GB2312" w:cs="仿宋_GB2312"/>
          <w:sz w:val="32"/>
          <w:szCs w:val="32"/>
        </w:rPr>
        <w:t>九、一般公共预算财政拨款项目支出决算表</w:t>
      </w:r>
      <w:bookmarkEnd w:id="60"/>
    </w:p>
    <w:p w14:paraId="1BFC318B">
      <w:pPr>
        <w:pStyle w:val="14"/>
        <w:adjustRightInd w:val="0"/>
        <w:snapToGrid w:val="0"/>
        <w:spacing w:line="560" w:lineRule="exact"/>
        <w:jc w:val="left"/>
        <w:rPr>
          <w:rFonts w:eastAsia="仿宋_GB2312" w:cs="仿宋_GB2312"/>
          <w:sz w:val="32"/>
          <w:szCs w:val="32"/>
        </w:rPr>
      </w:pPr>
      <w:bookmarkStart w:id="61" w:name="_Toc15396628"/>
      <w:r>
        <w:rPr>
          <w:rFonts w:hint="eastAsia" w:eastAsia="仿宋_GB2312" w:cs="仿宋_GB2312"/>
          <w:sz w:val="32"/>
          <w:szCs w:val="32"/>
        </w:rPr>
        <w:t>十、</w:t>
      </w:r>
      <w:bookmarkEnd w:id="61"/>
      <w:r>
        <w:rPr>
          <w:rFonts w:hint="eastAsia" w:eastAsia="仿宋_GB2312" w:cs="仿宋_GB2312"/>
          <w:sz w:val="32"/>
          <w:szCs w:val="32"/>
        </w:rPr>
        <w:t>政府性基金预算财政拨款收入支出决算表</w:t>
      </w:r>
    </w:p>
    <w:p w14:paraId="34AD46C2">
      <w:pPr>
        <w:pStyle w:val="14"/>
        <w:adjustRightInd w:val="0"/>
        <w:snapToGrid w:val="0"/>
        <w:spacing w:line="560" w:lineRule="exact"/>
        <w:jc w:val="left"/>
        <w:rPr>
          <w:rFonts w:eastAsia="仿宋_GB2312" w:cs="仿宋_GB2312"/>
          <w:sz w:val="32"/>
          <w:szCs w:val="32"/>
        </w:rPr>
      </w:pPr>
      <w:bookmarkStart w:id="62" w:name="_Toc15396629"/>
      <w:r>
        <w:rPr>
          <w:rFonts w:hint="eastAsia" w:eastAsia="仿宋_GB2312" w:cs="仿宋_GB2312"/>
          <w:sz w:val="32"/>
          <w:szCs w:val="32"/>
        </w:rPr>
        <w:t>十一、</w:t>
      </w:r>
      <w:bookmarkEnd w:id="62"/>
      <w:r>
        <w:rPr>
          <w:rFonts w:hint="eastAsia" w:eastAsia="仿宋_GB2312" w:cs="仿宋_GB2312"/>
          <w:sz w:val="32"/>
          <w:szCs w:val="32"/>
        </w:rPr>
        <w:t>国有资本经营预算财政拨款收入支出决算表</w:t>
      </w:r>
    </w:p>
    <w:p w14:paraId="1AB0EEC4">
      <w:pPr>
        <w:pStyle w:val="14"/>
        <w:adjustRightInd w:val="0"/>
        <w:snapToGrid w:val="0"/>
        <w:spacing w:line="560" w:lineRule="exact"/>
        <w:jc w:val="left"/>
        <w:rPr>
          <w:rFonts w:eastAsia="仿宋_GB2312" w:cs="仿宋_GB2312"/>
          <w:sz w:val="32"/>
          <w:szCs w:val="32"/>
        </w:rPr>
      </w:pPr>
      <w:bookmarkStart w:id="63" w:name="_Toc15396630"/>
      <w:r>
        <w:rPr>
          <w:rFonts w:hint="eastAsia" w:eastAsia="仿宋_GB2312" w:cs="仿宋_GB2312"/>
          <w:sz w:val="32"/>
          <w:szCs w:val="32"/>
        </w:rPr>
        <w:t>十二、</w:t>
      </w:r>
      <w:bookmarkEnd w:id="63"/>
      <w:r>
        <w:rPr>
          <w:rFonts w:hint="eastAsia" w:eastAsia="仿宋_GB2312" w:cs="仿宋_GB2312"/>
          <w:sz w:val="32"/>
          <w:szCs w:val="32"/>
        </w:rPr>
        <w:t>国有资本经营预算财政拨款支出决算表</w:t>
      </w:r>
    </w:p>
    <w:p w14:paraId="299D0217">
      <w:pPr>
        <w:pStyle w:val="14"/>
        <w:adjustRightInd w:val="0"/>
        <w:snapToGrid w:val="0"/>
        <w:spacing w:line="560" w:lineRule="exact"/>
        <w:jc w:val="left"/>
        <w:rPr>
          <w:rFonts w:eastAsia="仿宋_GB2312" w:cs="仿宋_GB2312"/>
          <w:sz w:val="32"/>
          <w:szCs w:val="32"/>
        </w:rPr>
      </w:pPr>
      <w:bookmarkStart w:id="64" w:name="_Toc15396631"/>
      <w:r>
        <w:rPr>
          <w:rFonts w:hint="eastAsia" w:eastAsia="仿宋_GB2312" w:cs="仿宋_GB2312"/>
          <w:sz w:val="32"/>
          <w:szCs w:val="32"/>
        </w:rPr>
        <w:t>十三、</w:t>
      </w:r>
      <w:bookmarkEnd w:id="64"/>
      <w:r>
        <w:rPr>
          <w:rFonts w:hint="eastAsia" w:eastAsia="仿宋_GB2312" w:cs="仿宋_GB2312"/>
          <w:sz w:val="32"/>
          <w:szCs w:val="32"/>
        </w:rPr>
        <w:t>财政拨款“三公”经费支出决算表</w:t>
      </w:r>
    </w:p>
    <w:p w14:paraId="7B08A348"/>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D8565449-C5F9-4F27-913B-B9CEDDFFDAC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B1CA0C7-5475-43FA-AAB5-E8887ECBC16F}"/>
  </w:font>
  <w:font w:name="仿宋">
    <w:panose1 w:val="02010609060101010101"/>
    <w:charset w:val="86"/>
    <w:family w:val="modern"/>
    <w:pitch w:val="default"/>
    <w:sig w:usb0="800002BF" w:usb1="38CF7CFA" w:usb2="00000016" w:usb3="00000000" w:csb0="00040001" w:csb1="00000000"/>
    <w:embedRegular r:id="rId3" w:fontKey="{B039C759-BFC1-4DEE-8178-6D7348A6B7B1}"/>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E0000" w:usb2="00000000" w:usb3="00000000" w:csb0="00040000" w:csb1="00000000"/>
    <w:embedRegular r:id="rId4" w:fontKey="{48F522FC-8216-4E3D-835C-D0D7D6991026}"/>
  </w:font>
  <w:font w:name="微软雅黑">
    <w:panose1 w:val="020B0503020204020204"/>
    <w:charset w:val="86"/>
    <w:family w:val="swiss"/>
    <w:pitch w:val="variable"/>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embedRegular r:id="rId5" w:fontKey="{5411A41F-5E92-4627-A8C3-D64DE310E79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8D78E">
    <w:pPr>
      <w:pStyle w:val="11"/>
      <w:jc w:val="center"/>
    </w:pPr>
  </w:p>
  <w:p w14:paraId="0D8DF71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E3363">
    <w:pPr>
      <w:pStyle w:val="11"/>
      <w:jc w:val="center"/>
    </w:pPr>
  </w:p>
  <w:p w14:paraId="5A876402">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46A76">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52BC25">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852BC25">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5795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E80052"/>
    <w:multiLevelType w:val="singleLevel"/>
    <w:tmpl w:val="8AE80052"/>
    <w:lvl w:ilvl="0" w:tentative="0">
      <w:start w:val="1"/>
      <w:numFmt w:val="decimal"/>
      <w:lvlText w:val="%1."/>
      <w:lvlJc w:val="left"/>
      <w:pPr>
        <w:tabs>
          <w:tab w:val="left" w:pos="312"/>
        </w:tabs>
      </w:pPr>
    </w:lvl>
  </w:abstractNum>
  <w:abstractNum w:abstractNumId="1">
    <w:nsid w:val="D4A61557"/>
    <w:multiLevelType w:val="singleLevel"/>
    <w:tmpl w:val="D4A61557"/>
    <w:lvl w:ilvl="0" w:tentative="0">
      <w:start w:val="1"/>
      <w:numFmt w:val="decimal"/>
      <w:lvlText w:val="%1."/>
      <w:lvlJc w:val="left"/>
      <w:pPr>
        <w:tabs>
          <w:tab w:val="left" w:pos="312"/>
        </w:tabs>
      </w:pPr>
    </w:lvl>
  </w:abstractNum>
  <w:abstractNum w:abstractNumId="2">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3">
    <w:nsid w:val="794BF8E4"/>
    <w:multiLevelType w:val="singleLevel"/>
    <w:tmpl w:val="794BF8E4"/>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91088D"/>
    <w:rsid w:val="02FEBE30"/>
    <w:rsid w:val="03655A3E"/>
    <w:rsid w:val="04740D92"/>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21543F"/>
    <w:rsid w:val="165E0673"/>
    <w:rsid w:val="16BB723D"/>
    <w:rsid w:val="186504BB"/>
    <w:rsid w:val="1938089F"/>
    <w:rsid w:val="19A445FC"/>
    <w:rsid w:val="1B7D550C"/>
    <w:rsid w:val="1BE8440E"/>
    <w:rsid w:val="1D155CEE"/>
    <w:rsid w:val="1E740ACF"/>
    <w:rsid w:val="1EDF3C38"/>
    <w:rsid w:val="1FF35744"/>
    <w:rsid w:val="1FF6BC77"/>
    <w:rsid w:val="21917C38"/>
    <w:rsid w:val="21962A9E"/>
    <w:rsid w:val="21AE7C77"/>
    <w:rsid w:val="22BC3C41"/>
    <w:rsid w:val="23860B96"/>
    <w:rsid w:val="240371BF"/>
    <w:rsid w:val="260F557C"/>
    <w:rsid w:val="281408E2"/>
    <w:rsid w:val="287A36F4"/>
    <w:rsid w:val="28D753FE"/>
    <w:rsid w:val="29FD04D3"/>
    <w:rsid w:val="2BFF7BC6"/>
    <w:rsid w:val="2C8A61B5"/>
    <w:rsid w:val="2D2E01CF"/>
    <w:rsid w:val="2DF04E50"/>
    <w:rsid w:val="2E9545B0"/>
    <w:rsid w:val="2F040D46"/>
    <w:rsid w:val="2FAE5751"/>
    <w:rsid w:val="2FB1A395"/>
    <w:rsid w:val="2FD9A7D8"/>
    <w:rsid w:val="306C7F28"/>
    <w:rsid w:val="31857392"/>
    <w:rsid w:val="319F7F4E"/>
    <w:rsid w:val="321B2544"/>
    <w:rsid w:val="32A839D1"/>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441783"/>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120F36"/>
    <w:rsid w:val="486A6C7A"/>
    <w:rsid w:val="49176D9B"/>
    <w:rsid w:val="49E71154"/>
    <w:rsid w:val="4A627F82"/>
    <w:rsid w:val="4B0E749A"/>
    <w:rsid w:val="4B4F25DA"/>
    <w:rsid w:val="4B95421D"/>
    <w:rsid w:val="4BDA0CFB"/>
    <w:rsid w:val="4BE068DB"/>
    <w:rsid w:val="4D3C0CCC"/>
    <w:rsid w:val="4D577224"/>
    <w:rsid w:val="4DBF1CEB"/>
    <w:rsid w:val="4EAB630A"/>
    <w:rsid w:val="4ECE2238"/>
    <w:rsid w:val="4F833267"/>
    <w:rsid w:val="4FE9BD67"/>
    <w:rsid w:val="4FFB052F"/>
    <w:rsid w:val="52355642"/>
    <w:rsid w:val="53083A92"/>
    <w:rsid w:val="537E6D0A"/>
    <w:rsid w:val="53AF27A2"/>
    <w:rsid w:val="53F74C96"/>
    <w:rsid w:val="56E47B74"/>
    <w:rsid w:val="57BD3DD4"/>
    <w:rsid w:val="5AF92295"/>
    <w:rsid w:val="5BDD79E6"/>
    <w:rsid w:val="5BF561CA"/>
    <w:rsid w:val="5BFF5DFC"/>
    <w:rsid w:val="5C464467"/>
    <w:rsid w:val="5CD71FC4"/>
    <w:rsid w:val="5D1F11B5"/>
    <w:rsid w:val="5DAE1B18"/>
    <w:rsid w:val="5DE7D9E5"/>
    <w:rsid w:val="5ECEC941"/>
    <w:rsid w:val="5F493CB7"/>
    <w:rsid w:val="5FBF9FF3"/>
    <w:rsid w:val="5FCD4E2C"/>
    <w:rsid w:val="5FD15F49"/>
    <w:rsid w:val="5FEF394A"/>
    <w:rsid w:val="5FF67715"/>
    <w:rsid w:val="62BF3928"/>
    <w:rsid w:val="647F5392"/>
    <w:rsid w:val="65AC2438"/>
    <w:rsid w:val="664B1D71"/>
    <w:rsid w:val="66F2031E"/>
    <w:rsid w:val="67AA3209"/>
    <w:rsid w:val="680C5410"/>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21BA0"/>
    <w:rsid w:val="744731E5"/>
    <w:rsid w:val="74527205"/>
    <w:rsid w:val="74BBD01D"/>
    <w:rsid w:val="74ED5379"/>
    <w:rsid w:val="74FC2395"/>
    <w:rsid w:val="75302AA1"/>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link w:val="35"/>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3"/>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2.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收入支出决算柱状图</a:t>
            </a:r>
          </a:p>
        </c:rich>
      </c:tx>
      <c:layout/>
      <c:overlay val="0"/>
      <c:spPr>
        <a:noFill/>
        <a:ln>
          <a:noFill/>
        </a:ln>
        <a:effectLst/>
      </c:spPr>
    </c:title>
    <c:autoTitleDeleted val="0"/>
    <c:plotArea>
      <c:layout/>
      <c:barChart>
        <c:barDir val="col"/>
        <c:grouping val="clustered"/>
        <c:varyColors val="0"/>
        <c:ser>
          <c:idx val="0"/>
          <c:order val="0"/>
          <c:tx>
            <c:strRef>
              <c:extLst>
                <c:ext xmlns:c15="http://schemas.microsoft.com/office/drawing/2012/chart" uri="{02D57815-91ED-43cb-92C2-25804820EDAC}">
                  <c15:fullRef>
                    <c15:sqref>Sheet1!$B$1</c15:sqref>
                  </c15:fullRef>
                  <c15:levelRef>
                    <c15:sqref>Sheet1!$B$1</c15:sqref>
                  </c15:levelRef>
                </c:ext>
              </c:extLst>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19411.21</c:v>
                </c:pt>
                <c:pt idx="1">
                  <c:v>22404.42</c:v>
                </c:pt>
              </c:numCache>
            </c:numRef>
          </c:val>
        </c:ser>
        <c:dLbls>
          <c:showLegendKey val="0"/>
          <c:showVal val="1"/>
          <c:showCatName val="0"/>
          <c:showSerName val="0"/>
          <c:showPercent val="0"/>
          <c:showBubbleSize val="0"/>
        </c:dLbls>
        <c:gapWidth val="246"/>
        <c:overlap val="-28"/>
        <c:axId val="912998125"/>
        <c:axId val="235883706"/>
      </c:barChart>
      <c:catAx>
        <c:axId val="912998125"/>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883706"/>
        <c:crosses val="autoZero"/>
        <c:auto val="1"/>
        <c:lblAlgn val="ctr"/>
        <c:lblOffset val="100"/>
        <c:noMultiLvlLbl val="0"/>
      </c:catAx>
      <c:valAx>
        <c:axId val="23588370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2998125"/>
        <c:crosses val="autoZero"/>
        <c:crossBetween val="between"/>
      </c:valAx>
      <c:spPr>
        <a:noFill/>
        <a:ln>
          <a:noFill/>
        </a:ln>
        <a:effectLst/>
      </c:spPr>
    </c:plotArea>
    <c:plotVisOnly val="1"/>
    <c:dispBlanksAs val="gap"/>
    <c:showDLblsOverMax val="0"/>
    <c:extLst>
      <c:ext uri="{0b15fc19-7d7d-44ad-8c2d-2c3a37ce22c3}">
        <chartProps xmlns="https://web.wps.cn/et/2018/main" chartId="{ac763fda-71a0-4094-ac3d-44d41ed72cd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收入决算结构图</a:t>
            </a:r>
          </a:p>
        </c:rich>
      </c:tx>
      <c:layout>
        <c:manualLayout>
          <c:xMode val="edge"/>
          <c:yMode val="edge"/>
          <c:x val="0.624909398405412"/>
          <c:y val="0.883154612787841"/>
        </c:manualLayout>
      </c:layout>
      <c:overlay val="0"/>
      <c:spPr>
        <a:noFill/>
        <a:ln>
          <a:noFill/>
        </a:ln>
        <a:effectLst/>
      </c:spPr>
    </c:title>
    <c:autoTitleDeleted val="0"/>
    <c:plotArea>
      <c:layout/>
      <c:pieChart>
        <c:varyColors val="1"/>
        <c:ser>
          <c:idx val="0"/>
          <c:order val="0"/>
          <c:tx>
            <c:strRef>
              <c:f>Sheet1!$B$1</c:f>
              <c:strCache>
                <c:ptCount val="1"/>
                <c:pt idx="0">
                  <c:v>收入决算结构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0724812756704518"/>
                  <c:y val="-0.022285251215559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761053394539744"/>
                  <c:y val="0.016207455429497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169122976564388"/>
                  <c:y val="-0.024311183144246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140130466296207"/>
                  <c:y val="-0.0060777957860615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c:v>
                </c:pt>
                <c:pt idx="1">
                  <c:v>政府性基金预算财政拨款</c:v>
                </c:pt>
                <c:pt idx="2">
                  <c:v>事业收入</c:v>
                </c:pt>
                <c:pt idx="3">
                  <c:v>其他收入</c:v>
                </c:pt>
              </c:strCache>
            </c:strRef>
          </c:cat>
          <c:val>
            <c:numRef>
              <c:f>Sheet1!$B$2:$B$5</c:f>
              <c:numCache>
                <c:formatCode>0.00%</c:formatCode>
                <c:ptCount val="4"/>
                <c:pt idx="0">
                  <c:v>0.1178</c:v>
                </c:pt>
                <c:pt idx="1">
                  <c:v>0.0011</c:v>
                </c:pt>
                <c:pt idx="2">
                  <c:v>0.841</c:v>
                </c:pt>
                <c:pt idx="3">
                  <c:v>0.0401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f50b117e-5098-4ca1-a704-a06aba0823bc}"/>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支出决算结构图</a:t>
            </a:r>
          </a:p>
        </c:rich>
      </c:tx>
      <c:layout>
        <c:manualLayout>
          <c:xMode val="edge"/>
          <c:yMode val="edge"/>
          <c:x val="0.622493355883064"/>
          <c:y val="0.873353166170846"/>
        </c:manualLayout>
      </c:layout>
      <c:overlay val="0"/>
      <c:spPr>
        <a:noFill/>
        <a:ln>
          <a:noFill/>
        </a:ln>
        <a:effectLst/>
      </c:spPr>
    </c:title>
    <c:autoTitleDeleted val="0"/>
    <c:plotArea>
      <c:layout/>
      <c:pieChart>
        <c:varyColors val="1"/>
        <c:ser>
          <c:idx val="0"/>
          <c:order val="0"/>
          <c:tx>
            <c:strRef>
              <c:f>Sheet1!$B$1</c:f>
              <c:strCache>
                <c:ptCount val="1"/>
                <c:pt idx="0">
                  <c:v>支出决算结构图
</c:v>
                </c:pt>
              </c:strCache>
            </c:strRef>
          </c:tx>
          <c:spPr/>
          <c:explosion val="0"/>
          <c:dPt>
            <c:idx val="0"/>
            <c:bubble3D val="0"/>
            <c:spPr>
              <a:solidFill>
                <a:schemeClr val="accent6"/>
              </a:solidFill>
              <a:ln>
                <a:solidFill>
                  <a:schemeClr val="bg1"/>
                </a:solidFill>
              </a:ln>
              <a:effectLst/>
            </c:spPr>
          </c:dPt>
          <c:dPt>
            <c:idx val="1"/>
            <c:bubble3D val="0"/>
            <c:spPr>
              <a:solidFill>
                <a:schemeClr val="accent5"/>
              </a:solidFill>
              <a:ln>
                <a:solidFill>
                  <a:schemeClr val="bg1"/>
                </a:solidFill>
              </a:ln>
              <a:effectLst/>
            </c:spPr>
          </c:dPt>
          <c:dLbls>
            <c:dLbl>
              <c:idx val="0"/>
              <c:layout>
                <c:manualLayout>
                  <c:x val="-0.312877506644117"/>
                  <c:y val="-0.082872928176795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0.8833</c:v>
                </c:pt>
                <c:pt idx="1">
                  <c:v>0.1167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69992751872433"/>
          <c:y val="0.495431364215895"/>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6b041990-cb4c-4e82-85e0-e05899a98e82}"/>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 财政拨款收支决算</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586.95</c:v>
                </c:pt>
                <c:pt idx="1">
                  <c:v>2663.28</c:v>
                </c:pt>
              </c:numCache>
            </c:numRef>
          </c:val>
        </c:ser>
        <c:dLbls>
          <c:showLegendKey val="0"/>
          <c:showVal val="1"/>
          <c:showCatName val="0"/>
          <c:showSerName val="0"/>
          <c:showPercent val="0"/>
          <c:showBubbleSize val="0"/>
        </c:dLbls>
        <c:gapWidth val="246"/>
        <c:overlap val="-28"/>
        <c:axId val="916545960"/>
        <c:axId val="785970496"/>
      </c:barChart>
      <c:catAx>
        <c:axId val="9165459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970496"/>
        <c:crosses val="autoZero"/>
        <c:auto val="1"/>
        <c:lblAlgn val="ctr"/>
        <c:lblOffset val="100"/>
        <c:noMultiLvlLbl val="0"/>
      </c:catAx>
      <c:valAx>
        <c:axId val="78597049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6545960"/>
        <c:crosses val="autoZero"/>
        <c:crossBetween val="between"/>
      </c:valAx>
      <c:spPr>
        <a:noFill/>
        <a:ln>
          <a:noFill/>
        </a:ln>
        <a:effectLst/>
      </c:spPr>
    </c:plotArea>
    <c:plotVisOnly val="1"/>
    <c:dispBlanksAs val="gap"/>
    <c:showDLblsOverMax val="0"/>
    <c:extLst>
      <c:ext uri="{0b15fc19-7d7d-44ad-8c2d-2c3a37ce22c3}">
        <chartProps xmlns="https://web.wps.cn/et/2018/main" chartId="{1e8b8bec-10c7-4982-b331-b5d4b22c75e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566.95</c:v>
                </c:pt>
                <c:pt idx="1">
                  <c:v>2638.28</c:v>
                </c:pt>
              </c:numCache>
            </c:numRef>
          </c:val>
        </c:ser>
        <c:dLbls>
          <c:showLegendKey val="0"/>
          <c:showVal val="1"/>
          <c:showCatName val="0"/>
          <c:showSerName val="0"/>
          <c:showPercent val="0"/>
          <c:showBubbleSize val="0"/>
        </c:dLbls>
        <c:gapWidth val="246"/>
        <c:overlap val="-28"/>
        <c:axId val="482686530"/>
        <c:axId val="200221437"/>
      </c:barChart>
      <c:catAx>
        <c:axId val="48268653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221437"/>
        <c:crosses val="autoZero"/>
        <c:auto val="1"/>
        <c:lblAlgn val="ctr"/>
        <c:lblOffset val="100"/>
        <c:noMultiLvlLbl val="0"/>
      </c:catAx>
      <c:valAx>
        <c:axId val="20022143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2686530"/>
        <c:crosses val="autoZero"/>
        <c:crossBetween val="between"/>
      </c:valAx>
      <c:spPr>
        <a:noFill/>
        <a:ln>
          <a:noFill/>
        </a:ln>
        <a:effectLst/>
      </c:spPr>
    </c:plotArea>
    <c:plotVisOnly val="1"/>
    <c:dispBlanksAs val="gap"/>
    <c:showDLblsOverMax val="0"/>
    <c:extLst>
      <c:ext uri="{0b15fc19-7d7d-44ad-8c2d-2c3a37ce22c3}">
        <chartProps xmlns="https://web.wps.cn/et/2018/main" chartId="{4b92259a-5e17-4031-b001-8896c52d42b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一般公共预算财政拨款支出决算结构图</a:t>
            </a:r>
          </a:p>
        </c:rich>
      </c:tx>
      <c:layout>
        <c:manualLayout>
          <c:xMode val="edge"/>
          <c:yMode val="edge"/>
          <c:x val="0.179511959410486"/>
          <c:y val="0.023374415639609"/>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234356124667794"/>
                  <c:y val="0.10837229069273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990577434162841"/>
                  <c:y val="0.0637484062898428"/>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289925102681807"/>
                  <c:y val="0.0722481937951551"/>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39139888862044"/>
                  <c:y val="0.046748831279218"/>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其他支出</c:v>
                </c:pt>
              </c:strCache>
            </c:strRef>
          </c:cat>
          <c:val>
            <c:numRef>
              <c:f>Sheet1!$B$2:$B$5</c:f>
              <c:numCache>
                <c:formatCode>0.00%</c:formatCode>
                <c:ptCount val="4"/>
                <c:pt idx="0">
                  <c:v>0.0009</c:v>
                </c:pt>
                <c:pt idx="1">
                  <c:v>0.1136</c:v>
                </c:pt>
                <c:pt idx="2">
                  <c:v>0.1275</c:v>
                </c:pt>
                <c:pt idx="3">
                  <c:v>0.758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a6ff7d73-860b-4340-9477-82f7df183769}"/>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4908</Words>
  <Characters>5444</Characters>
  <Lines>63</Lines>
  <Paragraphs>17</Paragraphs>
  <TotalTime>0</TotalTime>
  <ScaleCrop>false</ScaleCrop>
  <LinksUpToDate>false</LinksUpToDate>
  <CharactersWithSpaces>5510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李建川</cp:lastModifiedBy>
  <cp:lastPrinted>2026-08-27T00:27:00Z</cp:lastPrinted>
  <dcterms:modified xsi:type="dcterms:W3CDTF">2026-09-16T08:08:14Z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3BF536824C220DA3E40E8B68BA118B1C_42</vt:lpwstr>
  </property>
  <property fmtid="{D5CDD505-2E9C-101B-9397-08002B2CF9AE}" pid="4" name="KSOTemplateDocerSaveRecord">
    <vt:lpwstr>eyJoZGlkIjoiMTczMzNiOTJiYjE0NmU1NDgxMGRiYzc0ODE3NDRjOGUiLCJ1c2VySWQiOiIxODAxNDA1NTIwIn0=</vt:lpwstr>
  </property>
</Properties>
</file>